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7</w:t>
      </w:r>
      <w:r>
        <w:rPr>
          <w:rFonts w:hint="eastAsia" w:ascii="Times New Roman" w:hAnsi="Times New Roman"/>
          <w:b/>
          <w:bCs/>
          <w:sz w:val="28"/>
          <w:szCs w:val="28"/>
        </w:rPr>
        <w:t>课  药物疗法和过敏试验法</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19F805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444636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8664" w:type="dxa"/>
            <w:gridSpan w:val="2"/>
            <w:tcBorders>
              <w:tl2br w:val="nil"/>
              <w:tr2bl w:val="nil"/>
            </w:tcBorders>
            <w:vAlign w:val="center"/>
          </w:tcPr>
          <w:p w14:paraId="4C43F15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药物疗法和过敏试验法</w:t>
            </w:r>
          </w:p>
        </w:tc>
      </w:tr>
      <w:tr w14:paraId="5AD017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6D9EFE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8664" w:type="dxa"/>
            <w:gridSpan w:val="2"/>
            <w:tcBorders>
              <w:tl2br w:val="nil"/>
              <w:tr2bl w:val="nil"/>
            </w:tcBorders>
            <w:vAlign w:val="center"/>
          </w:tcPr>
          <w:p w14:paraId="52D35F6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675</w:t>
            </w:r>
            <w:r>
              <w:rPr>
                <w:rFonts w:hint="eastAsia" w:ascii="Times New Roman" w:hAnsi="宋体"/>
                <w:szCs w:val="20"/>
              </w:rPr>
              <w:t>min）。</w:t>
            </w:r>
          </w:p>
        </w:tc>
      </w:tr>
      <w:tr w14:paraId="21A603E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707599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8664" w:type="dxa"/>
            <w:gridSpan w:val="2"/>
            <w:tcBorders>
              <w:tl2br w:val="nil"/>
              <w:tr2bl w:val="nil"/>
            </w:tcBorders>
            <w:vAlign w:val="center"/>
          </w:tcPr>
          <w:p w14:paraId="763A1C76">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87AAE04">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准确记忆药物的保管要求、安全给药原则、口服给药的注意事项。</w:t>
            </w:r>
          </w:p>
          <w:p w14:paraId="386A258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能复述青霉素过敏反应的临床表现及过敏性休克的急救措施。</w:t>
            </w:r>
          </w:p>
          <w:p w14:paraId="30C0804D">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7FAAAE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药物疗法和过敏试验法</w:t>
            </w:r>
            <w:r>
              <w:rPr>
                <w:rFonts w:hint="eastAsia" w:ascii="Times New Roman" w:hAnsi="宋体"/>
                <w:bCs/>
                <w:szCs w:val="20"/>
              </w:rPr>
              <w:t>，初步形成急救护理的意识。</w:t>
            </w:r>
          </w:p>
        </w:tc>
      </w:tr>
      <w:tr w14:paraId="5F5E021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28CDF0A7">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8664" w:type="dxa"/>
            <w:gridSpan w:val="2"/>
            <w:tcBorders>
              <w:tl2br w:val="nil"/>
              <w:tr2bl w:val="nil"/>
            </w:tcBorders>
            <w:vAlign w:val="center"/>
          </w:tcPr>
          <w:p w14:paraId="2CF5105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给药的基本知识</w:t>
            </w:r>
          </w:p>
          <w:p w14:paraId="4733389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口服给药法</w:t>
            </w:r>
          </w:p>
        </w:tc>
      </w:tr>
      <w:tr w14:paraId="34BD7A7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035D88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8664" w:type="dxa"/>
            <w:gridSpan w:val="2"/>
            <w:tcBorders>
              <w:tl2br w:val="nil"/>
              <w:tr2bl w:val="nil"/>
            </w:tcBorders>
            <w:vAlign w:val="center"/>
          </w:tcPr>
          <w:p w14:paraId="530DD4A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8D3FE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11484AA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8664" w:type="dxa"/>
            <w:gridSpan w:val="2"/>
            <w:tcBorders>
              <w:tl2br w:val="nil"/>
              <w:tr2bl w:val="nil"/>
            </w:tcBorders>
            <w:vAlign w:val="center"/>
          </w:tcPr>
          <w:p w14:paraId="0E4744F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B1F5B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bottom w:val="double" w:color="4472C4" w:themeColor="accent5" w:sz="4" w:space="0"/>
              <w:tl2br w:val="nil"/>
              <w:tr2bl w:val="nil"/>
            </w:tcBorders>
            <w:shd w:val="clear" w:color="auto" w:fill="D0E6FF"/>
            <w:vAlign w:val="center"/>
          </w:tcPr>
          <w:p w14:paraId="2BDC9C69">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8664" w:type="dxa"/>
            <w:gridSpan w:val="2"/>
            <w:tcBorders>
              <w:bottom w:val="double" w:color="4472C4" w:themeColor="accent5" w:sz="4" w:space="0"/>
              <w:tl2br w:val="nil"/>
              <w:tr2bl w:val="nil"/>
            </w:tcBorders>
            <w:vAlign w:val="center"/>
          </w:tcPr>
          <w:p w14:paraId="5DC4D67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996C324">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5A540B0F">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67C2537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603D8FD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55A0473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0665DE2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39FF731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1F2BA8C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520901F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74CA309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382E0D0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p w14:paraId="44C9F8B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13</w:t>
            </w:r>
            <w:r>
              <w:rPr>
                <w:rFonts w:hint="default" w:ascii="Times New Roman" w:hAnsi="宋体"/>
                <w:szCs w:val="20"/>
              </w:rPr>
              <w:t>节课：知识讲解（40min）--课堂小结（3min）--作业布置（2min）</w:t>
            </w:r>
          </w:p>
          <w:p w14:paraId="5D6F6E9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14</w:t>
            </w:r>
            <w:r>
              <w:rPr>
                <w:rFonts w:hint="default" w:ascii="Times New Roman" w:hAnsi="宋体"/>
                <w:szCs w:val="20"/>
              </w:rPr>
              <w:t>节课：知识讲解（40min）--课堂小结（3min）--作业布置（2min）</w:t>
            </w:r>
          </w:p>
          <w:p w14:paraId="44042DD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15</w:t>
            </w:r>
            <w:r>
              <w:rPr>
                <w:rFonts w:hint="default" w:ascii="Times New Roman" w:hAnsi="宋体"/>
                <w:szCs w:val="20"/>
              </w:rPr>
              <w:t>节课：知识讲解（40min）--课堂小结（3min）--作业布置（2min）</w:t>
            </w:r>
          </w:p>
        </w:tc>
      </w:tr>
      <w:tr w14:paraId="7452D67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bottom w:val="double" w:color="4472C4" w:themeColor="accent5" w:sz="4" w:space="0"/>
            </w:tcBorders>
            <w:shd w:val="clear" w:color="auto" w:fill="D0E6FF"/>
            <w:vAlign w:val="center"/>
          </w:tcPr>
          <w:p w14:paraId="56258E86">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7014" w:type="dxa"/>
            <w:tcBorders>
              <w:top w:val="double" w:color="4472C4" w:themeColor="accent5" w:sz="4" w:space="0"/>
              <w:bottom w:val="double" w:color="4472C4" w:themeColor="accent5" w:sz="4" w:space="0"/>
            </w:tcBorders>
            <w:shd w:val="clear" w:color="auto" w:fill="D0E6FF"/>
            <w:vAlign w:val="center"/>
          </w:tcPr>
          <w:p w14:paraId="56B0C43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650" w:type="dxa"/>
            <w:tcBorders>
              <w:top w:val="double" w:color="4472C4" w:themeColor="accent5" w:sz="4" w:space="0"/>
              <w:bottom w:val="double" w:color="4472C4" w:themeColor="accent5" w:sz="4" w:space="0"/>
            </w:tcBorders>
            <w:shd w:val="clear" w:color="auto" w:fill="D0E6FF"/>
            <w:vAlign w:val="center"/>
          </w:tcPr>
          <w:p w14:paraId="773FBC4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5E48C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tl2br w:val="nil"/>
              <w:tr2bl w:val="nil"/>
            </w:tcBorders>
            <w:shd w:val="clear" w:color="auto" w:fill="D0E6FF"/>
            <w:vAlign w:val="center"/>
          </w:tcPr>
          <w:p w14:paraId="63B52C2D">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71F9CF10">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7014" w:type="dxa"/>
            <w:tcBorders>
              <w:top w:val="double" w:color="4472C4" w:themeColor="accent5" w:sz="4" w:space="0"/>
              <w:tl2br w:val="nil"/>
              <w:tr2bl w:val="nil"/>
            </w:tcBorders>
            <w:vAlign w:val="center"/>
          </w:tcPr>
          <w:p w14:paraId="600D45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12D39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650" w:type="dxa"/>
            <w:tcBorders>
              <w:top w:val="double" w:color="4472C4" w:themeColor="accent5" w:sz="4" w:space="0"/>
              <w:tl2br w:val="nil"/>
              <w:tr2bl w:val="nil"/>
            </w:tcBorders>
            <w:vAlign w:val="center"/>
          </w:tcPr>
          <w:p w14:paraId="33EC07A2">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EE0E3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4C0461F">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B6CBD8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7EBA9527">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展示给药的基本知识（一）</w:t>
            </w:r>
          </w:p>
          <w:p w14:paraId="7EC341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一、药物的种类、领取和保管</w:t>
            </w:r>
          </w:p>
          <w:p w14:paraId="376430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（一）药物的种类</w:t>
            </w:r>
            <w:r>
              <w:rPr>
                <w:rFonts w:hint="eastAsia" w:ascii="Times New Roman" w:hAnsi="Times New Roman"/>
                <w:b w:val="0"/>
                <w:bCs/>
                <w:color w:val="000000" w:themeColor="text1"/>
                <w:lang w:eastAsia="zh-CN"/>
                <w14:textFill>
                  <w14:solidFill>
                    <w14:schemeClr w14:val="tx1"/>
                  </w14:solidFill>
                </w14:textFill>
              </w:rPr>
              <w:tab/>
            </w:r>
          </w:p>
          <w:p w14:paraId="286EED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医院常用药物的种类根据药物性质和作用途径的不同可分为四类，临床工作中常用外文缩写表示给药方法及时间（见表 7-1）。</w:t>
            </w:r>
          </w:p>
          <w:p w14:paraId="36577B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color w:val="000000" w:themeColor="text1"/>
                <w:lang w:eastAsia="zh-CN"/>
                <w14:textFill>
                  <w14:solidFill>
                    <w14:schemeClr w14:val="tx1"/>
                  </w14:solidFill>
                </w14:textFill>
              </w:rPr>
            </w:pPr>
            <w:r>
              <w:rPr>
                <w:rFonts w:hint="default"/>
              </w:rPr>
              <w:drawing>
                <wp:inline distT="0" distB="0" distL="114300" distR="114300">
                  <wp:extent cx="3029585" cy="1753870"/>
                  <wp:effectExtent l="0" t="0" r="18415" b="177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3029585" cy="1753870"/>
                          </a:xfrm>
                          <a:prstGeom prst="rect">
                            <a:avLst/>
                          </a:prstGeom>
                          <a:noFill/>
                          <a:ln>
                            <a:noFill/>
                          </a:ln>
                        </pic:spPr>
                      </pic:pic>
                    </a:graphicData>
                  </a:graphic>
                </wp:inline>
              </w:drawing>
            </w:r>
            <w:r>
              <w:rPr>
                <w:rFonts w:hint="eastAsia" w:ascii="Times New Roman" w:hAnsi="Times New Roman"/>
                <w:b/>
                <w:color w:val="000000" w:themeColor="text1"/>
                <w:lang w:eastAsia="zh-CN"/>
                <w14:textFill>
                  <w14:solidFill>
                    <w14:schemeClr w14:val="tx1"/>
                  </w14:solidFill>
                </w14:textFill>
              </w:rPr>
              <w:t xml:space="preserve"> </w:t>
            </w:r>
          </w:p>
          <w:p w14:paraId="6EFD68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 内服药　包括片剂、胶囊、丸剂、溶液、合剂、酊剂、粉剂、散剂及纸型等。</w:t>
            </w:r>
          </w:p>
          <w:p w14:paraId="0D2764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注射药　包括水溶液、油剂、粉剂、结晶、混悬液等。</w:t>
            </w:r>
          </w:p>
          <w:p w14:paraId="31CA9E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 外用药　包括软膏、酊剂、搽剂、滴剂、栓剂、粉剂、涂膜剂、洗剂、喷雾剂等。</w:t>
            </w:r>
          </w:p>
          <w:p w14:paraId="27E01B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4. 其他　如粘贴敷片、植入慢溶药片、胰岛素泵等。</w:t>
            </w:r>
          </w:p>
          <w:p w14:paraId="2D818A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（二）药物的领取</w:t>
            </w:r>
            <w:r>
              <w:rPr>
                <w:rFonts w:hint="eastAsia" w:ascii="Times New Roman" w:hAnsi="Times New Roman"/>
                <w:b/>
                <w:bCs w:val="0"/>
                <w:color w:val="000000" w:themeColor="text1"/>
                <w:lang w:val="en-US" w:eastAsia="zh-CN"/>
                <w14:textFill>
                  <w14:solidFill>
                    <w14:schemeClr w14:val="tx1"/>
                  </w14:solidFill>
                </w14:textFill>
              </w:rPr>
              <w:tab/>
            </w:r>
          </w:p>
          <w:p w14:paraId="2CF1B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药物的领取需凭医生的处方进行。通常门诊患者凭医生处方自行领取；住院患者药物的领取方法各医院规定不一，一般如下：</w:t>
            </w:r>
          </w:p>
          <w:p w14:paraId="51C270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 病区内专柜</w:t>
            </w:r>
          </w:p>
          <w:p w14:paraId="161DCC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（1）常用药物：病区备有一定基数的常用药物，由专人负责保管，定期清查，根据消耗量填写领药本，到药房领取。</w:t>
            </w:r>
          </w:p>
          <w:p w14:paraId="12C0D4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（2）贵重药物或特殊药物：凭医生处方领取。</w:t>
            </w:r>
          </w:p>
          <w:p w14:paraId="0D990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（3）剧毒药和麻醉药：应凭医生麻醉专用处方领取。</w:t>
            </w:r>
          </w:p>
          <w:p w14:paraId="6CB93D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住院中心药房　全院各病区日间领取住院患者用药之处。病区护士将药盘和药卡送至住院中心药房，由药房专门人员负责配药（一日用量），病区护士核对后取回。病区药柜只存放少量的常用药、抢救药、针剂，以及极少量毒、麻、限制药品等，以备夜间及临时急用。</w:t>
            </w:r>
          </w:p>
          <w:p w14:paraId="43DEE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（三）药物的保管</w:t>
            </w:r>
          </w:p>
          <w:p w14:paraId="1E6E43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 药柜合理安置　药柜应放在通风、干燥、光线明亮并避免阳光直射处，由专人负责管理。</w:t>
            </w:r>
          </w:p>
          <w:p w14:paraId="3F2186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药品分类存放　药物应按内服、外用、注射、剧毒等分类放置，并按有效期先后顺序摆放使用，贵重药、剧毒药、麻醉药应加锁保管，专人负责，专本登记，并班班交接。</w:t>
            </w:r>
          </w:p>
          <w:p w14:paraId="7BB11E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 药瓶标签明显　要求字迹清楚，注明药名、浓度、剂量。标签按内服药用蓝色边、外用药用红色边、剧毒药和麻醉药用黑色边配制标记。当标签脱落或辨认不清时应及时处理。</w:t>
            </w:r>
          </w:p>
          <w:p w14:paraId="097319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4. 药品质量安全　定期检查药品质量，如发现药品有沉淀、浑浊、异味、变色、潮解、霉变、变性、超过有效期等，应立即停止使用。</w:t>
            </w:r>
          </w:p>
          <w:p w14:paraId="61695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5. 药物妥善保存　根据药物不同性质采用相应的保存方法。</w:t>
            </w:r>
          </w:p>
          <w:p w14:paraId="388DF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（1）密闭保存：易挥发、潮解、风化的药物以及芳香性药物均需装瓶密闭保存。如干酵母片、糖衣片、甘草片等。</w:t>
            </w:r>
          </w:p>
          <w:p w14:paraId="15501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（2）避光保存：易氧化和遇光变质的药物应用深色瓶盛装或放在黑纸遮光的纸盒内，放于阴凉处。如维生素 C、氨茶碱、盐酸肾上腺素等。</w:t>
            </w:r>
          </w:p>
          <w:p w14:paraId="38E5AB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（3）冷藏保存：易被热破坏的药物应置于干燥阴凉（约 20℃）处或按要求冷藏于 2 ～ 10℃的冰箱内。如疫苗、白蛋白、抗毒血清、胎盘球蛋白、青霉素皮试液等。</w:t>
            </w:r>
          </w:p>
          <w:p w14:paraId="312AA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（4）防火防爆：易燃、易爆的药物，须密闭瓶盖并单独存放于阴凉低温处，远离明火，以防意外。如乙醚、环氧乙烷、乙醇、过氧乙酸等。</w:t>
            </w:r>
          </w:p>
          <w:p w14:paraId="1DEFA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（5）单独存放：患者个人专用药或贵重药，应单独存放并注明床号、姓名。</w:t>
            </w:r>
          </w:p>
          <w:p w14:paraId="1FAF392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1FD20E35">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展示给药的基本知识（一）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2FD21B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4CE25E4E">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7014" w:type="dxa"/>
            <w:tcBorders>
              <w:tl2br w:val="nil"/>
              <w:tr2bl w:val="nil"/>
            </w:tcBorders>
            <w:vAlign w:val="center"/>
          </w:tcPr>
          <w:p w14:paraId="0BF5978E">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8B8C002">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简述药物的种类。</w:t>
            </w:r>
          </w:p>
        </w:tc>
        <w:tc>
          <w:tcPr>
            <w:tcW w:w="1650" w:type="dxa"/>
            <w:tcBorders>
              <w:tl2br w:val="nil"/>
              <w:tr2bl w:val="nil"/>
            </w:tcBorders>
            <w:vAlign w:val="center"/>
          </w:tcPr>
          <w:p w14:paraId="12DC0AF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B39CCB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6A111F5">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527223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7014" w:type="dxa"/>
            <w:tcBorders>
              <w:tl2br w:val="nil"/>
              <w:tr2bl w:val="nil"/>
            </w:tcBorders>
            <w:vAlign w:val="center"/>
          </w:tcPr>
          <w:p w14:paraId="18B140B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展示给药的基本知识（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175E3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二、安全给药原则</w:t>
            </w:r>
          </w:p>
          <w:p w14:paraId="2B03F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给药原则是一切用药的总则，给药中必须严格遵守。</w:t>
            </w:r>
          </w:p>
          <w:p w14:paraId="223BF5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（一）遵医嘱给药</w:t>
            </w:r>
          </w:p>
          <w:p w14:paraId="0CCE6F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遵医嘱给药是安全给药的前提。护士若对医嘱有疑问，应确认无误后方可执行，切不可盲目给药，也不得擅自更改医嘱；发现给药错误，应及时报告、处理。</w:t>
            </w:r>
          </w:p>
          <w:p w14:paraId="67B41D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（二）严格执行查对制度</w:t>
            </w:r>
          </w:p>
          <w:p w14:paraId="27D97A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查对制度是安全给药的保障。通过三查七对，同时检查药物质量，做到将准确的药物，按准确的剂量，用准确的方法，在准确的时间给予准确的患者。</w:t>
            </w:r>
          </w:p>
          <w:p w14:paraId="1C558B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三查：操作前、操作中、操作后查（查“七对”的内容）。</w:t>
            </w:r>
          </w:p>
          <w:p w14:paraId="2B6489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七对：对床号、姓名、药名、浓度、剂量、用法、时间。</w:t>
            </w:r>
          </w:p>
          <w:p w14:paraId="2EF8FE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（三）及时正确给药</w:t>
            </w:r>
          </w:p>
          <w:p w14:paraId="1A6B7D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医嘱准备药物并按时发放及使用；对易发生过敏的药物，用药前需了解用药史、过敏史和家族史，按需进行过敏试验，阴性者方可用药；给药前与患者有效沟通并取得合作；给予患者相应的用药指导，提高其自我合理用药的能力。</w:t>
            </w:r>
          </w:p>
          <w:p w14:paraId="6195EE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（四）观察用药反应</w:t>
            </w:r>
          </w:p>
          <w:p w14:paraId="6495A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用药后注意观察药物疗效和不良反应。发现不良反应时应及时告知医生，遵医嘱给药相应处理，并做好相应记录。</w:t>
            </w:r>
          </w:p>
          <w:p w14:paraId="0DB17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三、给药途径</w:t>
            </w:r>
          </w:p>
          <w:p w14:paraId="4CB75C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患者的病情、药物性质、剂型、机体对药物的吸收情况和用药目的的不同而选择不同的给药途径。动、静脉注射给药直接进入血液循环，其他给药方式均有一个药物的吸收过程，通常情况下，药物吸收速度由快至慢依次为：吸入＞舌下含化＞直肠给药＞肌内注射＞皮下注射＞口服＞皮肤给药。</w:t>
            </w:r>
          </w:p>
          <w:p w14:paraId="548F2A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四、给药次数和时间</w:t>
            </w:r>
          </w:p>
          <w:p w14:paraId="321757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给药次数及间隔时间取决于药物的半衰期，以能维持药物在血液中的有效浓度为最佳选择，同时应考虑药物的特性及人体的生理节奏等（医院常用给药时间安排见表 7-2）。</w:t>
            </w:r>
          </w:p>
          <w:p w14:paraId="37D55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34945" cy="835660"/>
                  <wp:effectExtent l="0" t="0" r="8255"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8"/>
                          <a:stretch>
                            <a:fillRect/>
                          </a:stretch>
                        </pic:blipFill>
                        <pic:spPr>
                          <a:xfrm>
                            <a:off x="0" y="0"/>
                            <a:ext cx="2734945" cy="835660"/>
                          </a:xfrm>
                          <a:prstGeom prst="rect">
                            <a:avLst/>
                          </a:prstGeom>
                          <a:noFill/>
                          <a:ln>
                            <a:noFill/>
                          </a:ln>
                        </pic:spPr>
                      </pic:pic>
                    </a:graphicData>
                  </a:graphic>
                </wp:inline>
              </w:drawing>
            </w:r>
          </w:p>
          <w:p w14:paraId="4507A098">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2366A2FC">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通过教师讲解，了解给药的基本知识（二）的基本理论知识。</w:t>
            </w:r>
          </w:p>
        </w:tc>
      </w:tr>
      <w:tr w14:paraId="539B18A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0C8CF95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DF23CB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61EB514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C4B058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给药的基本知识（二）</w:t>
            </w:r>
            <w:r>
              <w:rPr>
                <w:rFonts w:hint="eastAsia" w:ascii="宋体" w:hAnsi="宋体" w:cs="宋体"/>
                <w:b/>
                <w:bCs w:val="0"/>
                <w:kern w:val="0"/>
                <w:sz w:val="21"/>
                <w:szCs w:val="21"/>
                <w:lang w:val="en-US" w:eastAsia="zh-CN" w:bidi="ar"/>
              </w:rPr>
              <w:t>，让学生知道给药次数及间隔时间取决于药物的半衰期，以能维持药物在血液中的有效浓度为最佳选择</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0D6D2A8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6D8B7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7DC0996C">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7014" w:type="dxa"/>
            <w:tcBorders>
              <w:tl2br w:val="nil"/>
              <w:tr2bl w:val="nil"/>
            </w:tcBorders>
            <w:vAlign w:val="center"/>
          </w:tcPr>
          <w:p w14:paraId="246C926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45314C7">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简述给药次数和时间。</w:t>
            </w:r>
          </w:p>
        </w:tc>
        <w:tc>
          <w:tcPr>
            <w:tcW w:w="1650" w:type="dxa"/>
            <w:tcBorders>
              <w:tl2br w:val="nil"/>
              <w:tr2bl w:val="nil"/>
            </w:tcBorders>
            <w:vAlign w:val="center"/>
          </w:tcPr>
          <w:p w14:paraId="0D02EAE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2DE79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A4EF7E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4950423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展示给药的基本知识（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7B5AEA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五、影响药物作用的因素</w:t>
            </w:r>
          </w:p>
          <w:p w14:paraId="699C63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（一）药物因素</w:t>
            </w:r>
          </w:p>
          <w:p w14:paraId="0A52EE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剂量　在一定范围内，药效随剂量的增加而增强，但当剂量超过一定限度时则会产生毒性作用。使用安全范围较小的药物时，如洋地黄类药物，护士应注意观察其中毒反应情况。</w:t>
            </w:r>
          </w:p>
          <w:p w14:paraId="46E798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剂型　剂型不同的药物其吸收量与速度也各不相同，从而影响药物发生作用的快慢和强弱。以注射剂为例，水溶液比混悬液、油剂吸收快，因而产生作用也较快。</w:t>
            </w:r>
          </w:p>
          <w:p w14:paraId="6A410C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给药途径与时间　不同的给药途径能直接影响药物发生作用的快慢和强弱，甚至还会产生不同的药物效应。合理安排给药时间对药效的发挥有很重要的影响，例如抗生素的给药间隔时间应以维持药物的有效血药浓度为最佳选择。</w:t>
            </w:r>
          </w:p>
          <w:p w14:paraId="233FB2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药物间的相互作用　合理的联合用药可以增加疗效、降低毒性和减少不良反应。不合理的联合用药会降低疗效，出现不良反应，加大毒性。</w:t>
            </w:r>
          </w:p>
          <w:p w14:paraId="08A428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（二）机体因素 </w:t>
            </w:r>
          </w:p>
          <w:p w14:paraId="23A80C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生理因素</w:t>
            </w:r>
          </w:p>
          <w:p w14:paraId="0FF6F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年龄与体重：一般药物用量与体重成正比。但儿童和老人生理特点不同，例如，小儿神经系统、内分泌系统以及肝肾功能等脏器系统发育尚不健全，对药物的敏感性较成人高，使药物的吸收和分布快，代谢和排泄减慢，易造成中毒；而老年人则因肝肾等器官功能的衰退影响药物的代谢和排泄，因而对药物的耐受性降低。因此在给药时应考虑生长发育和机体的功能状态。</w:t>
            </w:r>
          </w:p>
          <w:p w14:paraId="167BC9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（2）性别：性别不同对药物的反应差别不大。但用药时应考虑不同性别不同的生理状况，例如女性在月经期、妊娠期禁用泻药、子宫收缩药，妊娠期和哺乳期用药要考虑对胎儿和乳儿的影响。</w:t>
            </w:r>
          </w:p>
          <w:p w14:paraId="31BB4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病理因素　疾病可影响机体对药物的敏感性，也可影响药物的体内过程，从而影响药物的效应。例如，肝脏是药物代谢的主要器官，肝功能不良时，肝药酶活性降低，药物代谢速度变慢，药物半衰期延长或作用增强；肾脏是药物排泄的主要器官，肾功能受损可使药物在体内蓄积而引起中毒。</w:t>
            </w:r>
          </w:p>
          <w:p w14:paraId="3234F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心理因素　心理因素在一定程度上也可影响药物的效应，其中以患者的情绪、对药物的信赖程度、对药疗的配合程度、医护人员的语言及暗示作用等最为重要。护理人员在给药过程中，应充分调动患者的主观能动性，以便更好地发挥药物疗效。</w:t>
            </w:r>
          </w:p>
          <w:p w14:paraId="1ED9E7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个体差异　不同个体对同一药物的反应不同。特异体质的患者对某些药物的敏感性高，很小剂量即可引起中毒；有些个体对药物敏感性低，需要较大剂量才能达到同等疗效。</w:t>
            </w:r>
          </w:p>
          <w:p w14:paraId="333F7F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（三）饮食对药物作用的影响</w:t>
            </w:r>
          </w:p>
          <w:p w14:paraId="08029B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饮食与药物之间存在着相互作用，饮食可以通过影响药物的吸收、排泄而影响药物疗效的发挥。</w:t>
            </w:r>
          </w:p>
          <w:p w14:paraId="6DD276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干扰药物的吸收　如高脂肪食物可促进脂溶性维生素的吸收，增强药物疗效，同时又可抑制胃酸分泌而影响铁剂的吸收；酸性食物含有丰富的维生素 C，可增进铁剂的吸收；菠菜中含有大量草酸，可与钙结合成草酸钙而影响钙剂的吸收。</w:t>
            </w:r>
          </w:p>
          <w:p w14:paraId="10CE3E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干扰药物的排泄　如粗纤维食物可促进肠蠕动，增强驱虫剂的疗效。</w:t>
            </w:r>
          </w:p>
          <w:p w14:paraId="14031B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改变尿液 pH，影响药物疗效　氨苄青霉素在酸性尿液中杀菌力强，为增强疗效宜多食荤食，使尿液偏酸性，增强抗菌作用；而应用氨基甙类和磺胺类药物时，宜多食豆制品和蔬菜等素食，以碱化尿液，增强疗效，促进代谢产物的排泄。</w:t>
            </w:r>
          </w:p>
          <w:p w14:paraId="704D40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6C8642F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通过教师讲解，了解给药的基本知识（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EDB7CA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40C2821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1DA225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658F6FA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E3E4A5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这节课我们一起学习了给药的基本知识（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），让学生知道饮食与药物之间存在着相互作用，饮食可以通过影响药物的吸收、排泄而影响药物疗效的发挥。</w:t>
            </w:r>
          </w:p>
        </w:tc>
        <w:tc>
          <w:tcPr>
            <w:tcW w:w="1650" w:type="dxa"/>
            <w:tcBorders>
              <w:tl2br w:val="nil"/>
              <w:tr2bl w:val="nil"/>
            </w:tcBorders>
            <w:vAlign w:val="center"/>
          </w:tcPr>
          <w:p w14:paraId="37DE963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73C9B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C57F70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75F7D84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A5D6B4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简述饮食对药物作用的影响</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41EAC13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AA62D2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6160AA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32524B2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展示口服给药法</w:t>
            </w:r>
          </w:p>
          <w:p w14:paraId="1BC916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2DB8A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协助患者遵照医嘱安全、正确地服药，以达到减轻症状、治疗疾病、协助诊断、预防疾病、维持正常生理功能的目的。</w:t>
            </w:r>
          </w:p>
          <w:p w14:paraId="2864CB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297469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（1）患者的病情以及生理状况：意识状态，吞咽能力，有无恶心呕吐，有无口腔食管疾病，能否自理给药。</w:t>
            </w:r>
          </w:p>
          <w:p w14:paraId="56454A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（2）患者的用药史、过敏史。</w:t>
            </w:r>
          </w:p>
          <w:p w14:paraId="557FE6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（3）患者对给药计划的了解、认识、心理反应以及合作程度。</w:t>
            </w:r>
          </w:p>
          <w:p w14:paraId="305BC0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7DAC0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用物准备　服药本及小药卡、与医嘱相应的药物、发药车、药盘、药杯、药匙、包药纸、量杯、滴管、研钵、湿纱布、饮水管、治疗巾、水壶（内盛温开水）。</w:t>
            </w:r>
          </w:p>
          <w:p w14:paraId="169305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患者准备　了解服药的目的与注意事项，配合给药。</w:t>
            </w:r>
          </w:p>
          <w:p w14:paraId="08FEC9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操作者准备　衣帽整洁，修剪指甲，洗手，戴口罩，备好用物。</w:t>
            </w:r>
          </w:p>
          <w:p w14:paraId="7597C7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光线明亮，清洁。</w:t>
            </w:r>
          </w:p>
          <w:p w14:paraId="6844EC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6C638800">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备药的操作步骤及要点说明见表 7-3。</w:t>
            </w:r>
          </w:p>
          <w:p w14:paraId="5360AD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21940" cy="2943860"/>
                  <wp:effectExtent l="0" t="0" r="1651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821940" cy="2943860"/>
                          </a:xfrm>
                          <a:prstGeom prst="rect">
                            <a:avLst/>
                          </a:prstGeom>
                          <a:noFill/>
                          <a:ln>
                            <a:noFill/>
                          </a:ln>
                        </pic:spPr>
                      </pic:pic>
                    </a:graphicData>
                  </a:graphic>
                </wp:inline>
              </w:drawing>
            </w:r>
          </w:p>
          <w:p w14:paraId="7EBC22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（2）发药的操作步骤及要点说明见表 7-4。</w:t>
            </w:r>
          </w:p>
          <w:p w14:paraId="757D2C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14930" cy="2378710"/>
                  <wp:effectExtent l="0" t="0" r="1397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0"/>
                          <a:stretch>
                            <a:fillRect/>
                          </a:stretch>
                        </pic:blipFill>
                        <pic:spPr>
                          <a:xfrm>
                            <a:off x="0" y="0"/>
                            <a:ext cx="2614930" cy="2378710"/>
                          </a:xfrm>
                          <a:prstGeom prst="rect">
                            <a:avLst/>
                          </a:prstGeom>
                          <a:noFill/>
                          <a:ln>
                            <a:noFill/>
                          </a:ln>
                        </pic:spPr>
                      </pic:pic>
                    </a:graphicData>
                  </a:graphic>
                </wp:inline>
              </w:drawing>
            </w:r>
          </w:p>
          <w:p w14:paraId="122A70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353B16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（1）护士操作规范，沟通交流正确有效，患者理解配合。</w:t>
            </w:r>
          </w:p>
          <w:p w14:paraId="16A798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（2）坚持安全给药原则，做到“五准确”“发药到手，看服到口”，严密观察并及时处理药物不良反应。</w:t>
            </w:r>
          </w:p>
          <w:p w14:paraId="657709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0FC9F0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（1）发药到手，看服到口。发药前护士应了解患者有关情况，患者因各种原因暂不能服药时，应将药物带回保管，适时再发或交班。</w:t>
            </w:r>
          </w:p>
          <w:p w14:paraId="5DED34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（2）仔细查对，耐心释疑。做好“三查七对”，确保用药无误。如患者提出疑问，护士应重新核对，确认无误后，耐心解释再给患者服药。</w:t>
            </w:r>
          </w:p>
          <w:p w14:paraId="07407F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（3）密切观察药物的疗效及不良反应。服用强心苷类药物前应先测脉搏，脉率低于 60 次 / 分或节律不齐，应停服，并报告医生。服用利尿剂者，需记录出入量或尿量。</w:t>
            </w:r>
          </w:p>
          <w:p w14:paraId="364563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（4）个别患者服用某些特殊药物时，由患者凭医生处方整盒或整瓶领回，患者自己保管。护士需督促患者按时按量服药，并注意观察药物反应。</w:t>
            </w:r>
          </w:p>
          <w:p w14:paraId="08C5ED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【健康教育】</w:t>
            </w:r>
          </w:p>
          <w:p w14:paraId="56B9F1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（1）指导患者根据药物的不同性质与药理作用，采用不同的给药时间和方法，以提高疗效，减轻不良反应。</w:t>
            </w:r>
          </w:p>
          <w:p w14:paraId="1B965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①药物通常用温开水送服而不用茶或牛奶送服，以免影响药物吸收。</w:t>
            </w:r>
          </w:p>
          <w:p w14:paraId="5C2D5A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②缓释片、肠溶片、胶囊需吞服，不可嚼碎；酵母片、硫糖铝片最好先嚼碎，再温水送服。</w:t>
            </w:r>
          </w:p>
          <w:p w14:paraId="45A76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③对牙齿有腐蚀作用或使牙齿染色的药物，如酸剂、铁剂，宜用吸水管吸入，尽量避免与牙齿接触，服后及时漱口。</w:t>
            </w:r>
          </w:p>
          <w:p w14:paraId="7C65EC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④健胃及增进食欲的药物，宜饭前服；助消化药物宜饭时或饭后立即服；对胃黏膜有刺激的药物宜饭后服。催眠药在睡前服，驱虫药宜在空腹或半空腹时服用。</w:t>
            </w:r>
          </w:p>
          <w:p w14:paraId="5DF26D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⑤对呼吸道黏膜起安抚作用的止咳合剂，服后不宜立即饮水，以免冲淡药液，降低疗效；同时服用多种药物时，应最后服用止咳糖浆。</w:t>
            </w:r>
          </w:p>
          <w:p w14:paraId="4A189B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⑥抗生素类药物应准时服用，以保证有效的血药浓度。</w:t>
            </w:r>
          </w:p>
          <w:p w14:paraId="43FEE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⑦磺胺类药物服药后要多饮水，以免因尿少药物结晶堵塞肾小管；退热药服后多饮水，以利发汗，增强疗效。</w:t>
            </w:r>
          </w:p>
          <w:p w14:paraId="448CD9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（2）根据药物与饮食的相互作用，指导患者用药期间合理饮食。饮酒会影响药物疗效的发挥，服药期间应避免饮酒。</w:t>
            </w:r>
          </w:p>
          <w:p w14:paraId="6F59B6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（3）告诉患者药物的治疗作用与常见的不良反应，以自行观察服药效果。</w:t>
            </w:r>
          </w:p>
          <w:p w14:paraId="6B5D62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服用强心苷类药物者应告知患者自测脉率的方法，交代患者按时按量服药，若出现恶心、食欲不振、绿视或脉率异常，应及时寻求医师帮助，切勿自行增加药量；特殊情况漏服者，不可在下顿加服。</w:t>
            </w:r>
          </w:p>
          <w:p w14:paraId="148827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（4）告诉患者按时遵医嘱用药的重要性。在用药的同时切勿自行另购药物服用，以免干扰药物的疗效或增加副作用。</w:t>
            </w:r>
          </w:p>
          <w:p w14:paraId="26BF84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6F5ED5A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通过教师讲解，了解口服给药法的基本理论知识。</w:t>
            </w:r>
          </w:p>
        </w:tc>
      </w:tr>
      <w:tr w14:paraId="6563319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FA1AC3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ACB545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1FA9D07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A45B80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这节课我们一起学习了口服给药法，让学生知道饮酒会影响药物疗效的发挥，服药期间应避免饮酒。</w:t>
            </w:r>
          </w:p>
        </w:tc>
        <w:tc>
          <w:tcPr>
            <w:tcW w:w="1650" w:type="dxa"/>
            <w:tcBorders>
              <w:tl2br w:val="nil"/>
              <w:tr2bl w:val="nil"/>
            </w:tcBorders>
            <w:vAlign w:val="center"/>
          </w:tcPr>
          <w:p w14:paraId="5E9B26D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B9EF1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1E53AC6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70807D4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77CC54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简述发药的操作步骤</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6DA9E68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388B6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45AA68C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30A7BC3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展示雾化吸入法</w:t>
            </w:r>
          </w:p>
          <w:p w14:paraId="3F5791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27BC8E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（1）湿化气道，稀释痰液，帮助祛痰，改善通气功能。常用于气管切开术后以及痰液黏稠的患者。</w:t>
            </w:r>
          </w:p>
          <w:p w14:paraId="5D6838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（2）预防、控制呼吸道感染：吸入抗感染、祛痰药物以消除炎症，减轻呼吸道黏膜水肿，保持呼吸道通畅。常用于肺脓肿、肺结核等呼吸道感染患者，也可作为胸部手术前后患者的常规治疗手段。</w:t>
            </w:r>
          </w:p>
          <w:p w14:paraId="5DFF94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（3）解除支气管痉挛，降低气道阻力，改善通气状况。常用于支气管哮喘、喘息性支气管炎等患者。</w:t>
            </w:r>
          </w:p>
          <w:p w14:paraId="04350E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（4）治疗肺癌，间歇吸入抗癌药物以治疗肺癌。</w:t>
            </w:r>
          </w:p>
          <w:p w14:paraId="7BC70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5F3BCC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（1）患者的病情：意识状态，呼吸道是否通畅，有无呼吸困难，口腔黏膜是否完整。</w:t>
            </w:r>
          </w:p>
          <w:p w14:paraId="1ABC15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（2）患者对给药计划的了解、认识、心理反应以及合作程度。</w:t>
            </w:r>
          </w:p>
          <w:p w14:paraId="2C37C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624740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用物准备　雾化装置一套（内置与医嘱相应的药物）、弯盘、治疗巾、漱口杯及漱口液（必要时备引水管）、清洁纸巾。</w:t>
            </w:r>
          </w:p>
          <w:p w14:paraId="4BC251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雾化吸入常用药物：</w:t>
            </w:r>
          </w:p>
          <w:p w14:paraId="5E9E7C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（1）控制呼吸道感染常用庆大霉素、卡那霉素、多黏菌素 E 等。</w:t>
            </w:r>
          </w:p>
          <w:p w14:paraId="6692A8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（2）解除支气管痉挛常用氨茶碱、沙丁胺醇等。</w:t>
            </w:r>
          </w:p>
          <w:p w14:paraId="4CF75A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（3）稀释痰液、帮助祛痰常用 α- 糜蛋白酶等。</w:t>
            </w:r>
          </w:p>
          <w:p w14:paraId="01CBE0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（4）减轻呼吸道黏膜水肿常用地塞米松等。</w:t>
            </w:r>
          </w:p>
          <w:p w14:paraId="15A708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患者准备　了解雾化吸入法的目的与注意事项，能配合呼吸。</w:t>
            </w:r>
          </w:p>
          <w:p w14:paraId="6436D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操作者准备　衣帽整洁，修剪指甲，洗手，戴口罩，备好用物。</w:t>
            </w:r>
          </w:p>
          <w:p w14:paraId="1FA69B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光线明亮，清洁。</w:t>
            </w:r>
          </w:p>
          <w:p w14:paraId="2416C6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40B014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1. 超声波雾化吸入法　超声波雾化吸入法是应用超声波声能，将药液变成细微的气雾，再经呼吸道吸入的方法。其雾量大小可以调节，雾滴小而均匀（＜5 </w:t>
            </w:r>
            <w:r>
              <w:rPr>
                <w:rFonts w:hint="eastAsia" w:ascii="宋体" w:hAnsi="宋体" w:eastAsia="宋体" w:cs="宋体"/>
                <w:b w:val="0"/>
                <w:bCs/>
                <w:color w:val="000000"/>
                <w:kern w:val="2"/>
                <w:sz w:val="21"/>
                <w:szCs w:val="21"/>
                <w:lang w:val="en-US" w:eastAsia="zh-CN" w:bidi="ar"/>
              </w:rPr>
              <w:softHyphen/>
            </w:r>
            <w:r>
              <w:rPr>
                <w:rFonts w:hint="eastAsia" w:ascii="宋体" w:hAnsi="宋体" w:eastAsia="宋体" w:cs="宋体"/>
                <w:b w:val="0"/>
                <w:bCs/>
                <w:color w:val="000000"/>
                <w:kern w:val="2"/>
                <w:sz w:val="21"/>
                <w:szCs w:val="21"/>
                <w:lang w:val="en-US" w:eastAsia="zh-CN" w:bidi="ar"/>
              </w:rPr>
              <w:noBreakHyphen/>
            </w:r>
            <w:r>
              <w:rPr>
                <w:rFonts w:hint="eastAsia" w:ascii="宋体" w:hAnsi="宋体" w:eastAsia="宋体" w:cs="宋体"/>
                <w:b w:val="0"/>
                <w:bCs/>
                <w:color w:val="000000"/>
                <w:kern w:val="2"/>
                <w:sz w:val="21"/>
                <w:szCs w:val="21"/>
                <w:lang w:val="en-US" w:eastAsia="zh-CN" w:bidi="ar"/>
              </w:rPr>
              <w:t>m），药液可随深而慢的吸气到达终末支气管和肺泡。</w:t>
            </w:r>
          </w:p>
          <w:p w14:paraId="584858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（1）超声波雾化吸入器的结构与作用原理（图 7-3）。</w:t>
            </w:r>
          </w:p>
          <w:p w14:paraId="0FBDAE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①超声波发生器。超声波发生器通电后输出高频电能。</w:t>
            </w:r>
          </w:p>
          <w:p w14:paraId="0F13BE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②水槽与晶体换能器。水槽内盛冷蒸馏水，水槽底部有一晶体换能器。晶体换能器能接收超声波发生器输出的高频电能，将其转换为超声波声能。</w:t>
            </w:r>
          </w:p>
          <w:p w14:paraId="49E40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③雾化罐与透声膜。雾化罐内盛药液，其底部是透声膜。声能震动并透过雾化罐底部的透声膜作用于罐内的药液，使药液表面张力破坏而形成细微雾滴。</w:t>
            </w:r>
          </w:p>
          <w:p w14:paraId="701406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④螺纹管和口含嘴（或面罩）。随着患者的深吸气，药雾经由螺纹管、口含嘴进入患者呼吸道。</w:t>
            </w:r>
          </w:p>
          <w:p w14:paraId="6CE29D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⑤控制面板。面板上有电源和雾量调节开关、指示灯及定时器，便于操作。</w:t>
            </w:r>
          </w:p>
          <w:p w14:paraId="21AC321B">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超声波雾化吸入法的操作步骤与要点说明。</w:t>
            </w:r>
          </w:p>
          <w:p w14:paraId="22A8A4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49BE42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（1）护士坚持安全给药原则，严格遵守查对制度。</w:t>
            </w:r>
          </w:p>
          <w:p w14:paraId="72CFE7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（2）护士操作规范，沟通交流正确有效，患者理解配合。</w:t>
            </w:r>
          </w:p>
          <w:p w14:paraId="7BE352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（3）患者症状减轻，感觉舒适，达到治疗目的。</w:t>
            </w:r>
          </w:p>
          <w:p w14:paraId="56A2B6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1B4AAD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（1）严格执行查对制度，遵守消毒隔离原则。</w:t>
            </w:r>
          </w:p>
          <w:p w14:paraId="7D215F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（2）根据患者病情、治疗目的以及不同雾化吸入法的特点选择合适的雾化吸入方法。</w:t>
            </w:r>
          </w:p>
          <w:p w14:paraId="247DEB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（3）注意操作安全。</w:t>
            </w:r>
          </w:p>
          <w:p w14:paraId="4F1001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①超声波雾化器水槽和雾化罐内切忌加温水或热水，使用中水温超过 50℃应及时关机更换冷蒸馏水。</w:t>
            </w:r>
          </w:p>
          <w:p w14:paraId="0A84E5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②氧气雾化吸入法用氧过程中严禁接触烟火和易燃品。</w:t>
            </w:r>
          </w:p>
          <w:p w14:paraId="314A29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（4）正确操作，维护仪器。</w:t>
            </w:r>
          </w:p>
          <w:p w14:paraId="44548B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①超声波雾化器：A. 水槽内须保持有足够的冷蒸馏水，无水时不可开机，水量不足时及时加水；B. 水槽底部的晶体换能器和雾化罐底部的透声膜薄而质脆，易破碎，操作中注意不要损坏；C. 开机时先开电源开关，后开雾化开关，关机时先关雾化开关，后关电源开关，以防损坏电子管；D.连续使用雾化器时，中间需间隔 30 分钟。</w:t>
            </w:r>
          </w:p>
          <w:p w14:paraId="0FFC82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②氧气雾化吸入器：氧流量不可过高。</w:t>
            </w:r>
          </w:p>
          <w:p w14:paraId="66B66B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（5）注意观察雾化吸入的治疗效果，必要时协助排痰。</w:t>
            </w:r>
          </w:p>
          <w:p w14:paraId="02B58A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【健康教育】</w:t>
            </w:r>
          </w:p>
          <w:p w14:paraId="1CA1A5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（1）指导患者雾化吸入时的呼吸配合方法，使药液充分到达病变部位，增强疗效。</w:t>
            </w:r>
          </w:p>
          <w:p w14:paraId="7A8F31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（2）告知患者雾化吸入后及时漱口，以减轻药物对口腔局部的作用。</w:t>
            </w:r>
          </w:p>
          <w:p w14:paraId="6C5CAA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（3）指导患者雾化后正确的咳嗽方法，以帮助痰液排出。</w:t>
            </w:r>
          </w:p>
          <w:p w14:paraId="2EA1A3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（4）使用手压式雾化吸入法者，告诉患者每次 1 ～ 2 喷即可，两次使用间隔时间不少于 3 ～ 4 小时，防止用药过量；口含时勿用牙咬，用后及时清洁，置阴凉处存放。</w:t>
            </w:r>
          </w:p>
          <w:p w14:paraId="6C29A5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46C4442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通过教师讲解，了解雾化吸入法的基本理论知识。</w:t>
            </w:r>
          </w:p>
        </w:tc>
      </w:tr>
      <w:tr w14:paraId="66FC562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102AEB7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E87A88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53A2294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46B4C9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这节课我们一起学习了雾化吸入法，让学生知道告知患者雾化吸入后及时漱口，以减轻药物对口腔局部的作用。</w:t>
            </w:r>
          </w:p>
        </w:tc>
        <w:tc>
          <w:tcPr>
            <w:tcW w:w="1650" w:type="dxa"/>
            <w:tcBorders>
              <w:tl2br w:val="nil"/>
              <w:tr2bl w:val="nil"/>
            </w:tcBorders>
            <w:vAlign w:val="center"/>
          </w:tcPr>
          <w:p w14:paraId="2FBF51F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99C1C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83B4E2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3DF11A6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9ABB5D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简述手压式雾化吸入法的注意事项</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0C0674A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821DD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D50765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0A00C88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展示文章《少年中国说》</w:t>
            </w:r>
          </w:p>
          <w:p w14:paraId="0FCBE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日本人之称我中国也，一则曰老大帝国，再则曰老大帝国。</w:t>
            </w:r>
          </w:p>
          <w:p w14:paraId="154181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是语也，盖袭译欧西人之言也。呜呼！我中国其果老大矣乎？梁启超曰：恶，是</w:t>
            </w:r>
          </w:p>
          <w:p w14:paraId="5F2D06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3FC7A9A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通过教师讲解，了解说明文阅读与写作的基本理论知识。</w:t>
            </w:r>
          </w:p>
        </w:tc>
      </w:tr>
      <w:tr w14:paraId="3467E37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05D8F12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4F8DA4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2564C6F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95FC713">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这节课我们一起学习了阅读与写作，让学生知道说明文根据表达方式的不同，可以分为一般性说明文和文艺性说明文。</w:t>
            </w:r>
          </w:p>
        </w:tc>
        <w:tc>
          <w:tcPr>
            <w:tcW w:w="1650" w:type="dxa"/>
            <w:tcBorders>
              <w:tl2br w:val="nil"/>
              <w:tr2bl w:val="nil"/>
            </w:tcBorders>
            <w:vAlign w:val="center"/>
          </w:tcPr>
          <w:p w14:paraId="3CA6F62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95E9F8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F56A20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1AAC63A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9A6DCF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思考一下，以歌颂为主的正面说理的杂文适合运用哪些说理方法。</w:t>
            </w:r>
          </w:p>
        </w:tc>
        <w:tc>
          <w:tcPr>
            <w:tcW w:w="1650" w:type="dxa"/>
            <w:tcBorders>
              <w:tl2br w:val="nil"/>
              <w:tr2bl w:val="nil"/>
            </w:tcBorders>
            <w:vAlign w:val="center"/>
          </w:tcPr>
          <w:p w14:paraId="455A8E8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03D19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C60AAD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34022E1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展示文章《少年中国说》</w:t>
            </w:r>
          </w:p>
          <w:p w14:paraId="376E4C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日本人之称我中国也，一则曰老大帝国，再则曰老大帝国。</w:t>
            </w:r>
          </w:p>
          <w:p w14:paraId="63027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是语也，盖袭译欧西人之言也。呜呼！我中国其果老大矣乎？梁启超曰：恶，是</w:t>
            </w:r>
          </w:p>
          <w:p w14:paraId="72EDE9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791A306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通过教师讲解，了解说明文阅读与写作的基本理论知识。</w:t>
            </w:r>
          </w:p>
        </w:tc>
      </w:tr>
      <w:tr w14:paraId="042D619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1CDA145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FF5E1D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52B1C0C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CC6F6D8">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这节课我们一起学习了阅读与写作，让学生知道说明文根据表达方式的不同，可以分为一般性说明文和文艺性说明文。</w:t>
            </w:r>
          </w:p>
        </w:tc>
        <w:tc>
          <w:tcPr>
            <w:tcW w:w="1650" w:type="dxa"/>
            <w:tcBorders>
              <w:tl2br w:val="nil"/>
              <w:tr2bl w:val="nil"/>
            </w:tcBorders>
            <w:vAlign w:val="center"/>
          </w:tcPr>
          <w:p w14:paraId="44080C0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DA663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BC0AC3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6374F64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EE6CB4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思考一下，以歌颂为主的正面说理的杂文适合运用哪些说理方法。</w:t>
            </w:r>
          </w:p>
        </w:tc>
        <w:tc>
          <w:tcPr>
            <w:tcW w:w="1650" w:type="dxa"/>
            <w:tcBorders>
              <w:tl2br w:val="nil"/>
              <w:tr2bl w:val="nil"/>
            </w:tcBorders>
            <w:vAlign w:val="center"/>
          </w:tcPr>
          <w:p w14:paraId="2EDA1BE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28440C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6E6820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7568F8E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展示注射法</w:t>
            </w:r>
            <w:r>
              <w:rPr>
                <w:rFonts w:hint="eastAsia" w:ascii="宋体" w:hAnsi="宋体" w:cs="宋体"/>
                <w:b w:val="0"/>
                <w:bCs/>
                <w:color w:val="C00000"/>
                <w:kern w:val="2"/>
                <w:sz w:val="21"/>
                <w:szCs w:val="21"/>
                <w:lang w:val="en-US" w:eastAsia="zh-CN" w:bidi="ar"/>
              </w:rPr>
              <w:t>（一）</w:t>
            </w:r>
          </w:p>
          <w:p w14:paraId="2C4AD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一、注射原则</w:t>
            </w:r>
          </w:p>
          <w:p w14:paraId="3E5EDF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（一）严格遵守无菌操作原则</w:t>
            </w:r>
          </w:p>
          <w:p w14:paraId="3DE7B0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（1）注射环境整洁安静，符合无菌操作要求。</w:t>
            </w:r>
          </w:p>
          <w:p w14:paraId="3E1D64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（2）注射前护士必须洗手、戴口罩，必要时戴手套，保持衣帽整洁；注射后护士应洗手。</w:t>
            </w:r>
          </w:p>
          <w:p w14:paraId="130D33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（3）按要求进行注射部位皮肤消毒，并保持无菌。</w:t>
            </w:r>
          </w:p>
          <w:p w14:paraId="3FB30E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皮肤常规消毒方法：用棉签蘸取 2% 碘酊，以注射点为中心向外螺旋式旋转涂擦，直径在 5 cm 以上，待干后用 70% 乙醇以同法脱碘，待乙醇挥发后即可注射。或用 0.5% 碘伏或安尔碘涂擦消毒两遍即可，无须脱碘。</w:t>
            </w:r>
          </w:p>
          <w:p w14:paraId="0D6677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（4）注射器空筒的内壁、活塞、乳头和针头的针尖、针梗、针栓内壁必须保持无菌，不可用手触摸。</w:t>
            </w:r>
          </w:p>
          <w:p w14:paraId="3C16A7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（二）严格执行查对制度</w:t>
            </w:r>
          </w:p>
          <w:p w14:paraId="7EE90D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严格执行“三查七对”；仔细检查药物质量，如发现药液变质、变色、混浊、沉淀、过期或安瓿有裂痕等现象，不可应用；如同时注射多种药物，应检查药物有无配伍禁忌。 </w:t>
            </w:r>
          </w:p>
          <w:p w14:paraId="707633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（三）现配现用注射药液</w:t>
            </w:r>
          </w:p>
          <w:p w14:paraId="383D00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药液在规定注射时间前临时抽取，即时注射，以防药物效价降低或被污染。</w:t>
            </w:r>
          </w:p>
          <w:p w14:paraId="36271F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（四）选择合适的注射器和针头</w:t>
            </w:r>
          </w:p>
          <w:p w14:paraId="7F2736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根据药物剂量、黏稠度和刺激性的强弱、注射途径以及患者情况，选择合适的注射器和针头。药液剂量不足 1 mL 时，需用 1 mL 的注射器抽吸，以确保剂量准确。</w:t>
            </w:r>
          </w:p>
          <w:p w14:paraId="73B97C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注射器　由空筒和活塞组成。空筒前端为乳头，空筒表面有刻度，活塞后部为活塞轴、活塞柄（图 7-6）。注射器应完整无损，不漏气。</w:t>
            </w:r>
          </w:p>
          <w:p w14:paraId="6723E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针头　由针尖、针梗和针栓三部分组成，静脉注射或静脉采血时还可使用相应规格的一次性头皮针。针头锐利、无钩、无弯曲，型号合适，与注射器衔接紧密。</w:t>
            </w:r>
          </w:p>
          <w:p w14:paraId="552A30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常用注射器规格、针头型号以及主要用途　常用注射器规格、针头型号以及主要用途见表 7-8。</w:t>
            </w:r>
          </w:p>
          <w:p w14:paraId="734D88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81935" cy="764540"/>
                  <wp:effectExtent l="0" t="0" r="18415" b="165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1"/>
                          <a:stretch>
                            <a:fillRect/>
                          </a:stretch>
                        </pic:blipFill>
                        <pic:spPr>
                          <a:xfrm>
                            <a:off x="0" y="0"/>
                            <a:ext cx="2781935" cy="764540"/>
                          </a:xfrm>
                          <a:prstGeom prst="rect">
                            <a:avLst/>
                          </a:prstGeom>
                          <a:noFill/>
                          <a:ln>
                            <a:noFill/>
                          </a:ln>
                        </pic:spPr>
                      </pic:pic>
                    </a:graphicData>
                  </a:graphic>
                </wp:inline>
              </w:drawing>
            </w:r>
          </w:p>
          <w:p w14:paraId="2F6F0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369ECEA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通过教师讲解，了解注射法（一）的基本理论知识。</w:t>
            </w:r>
          </w:p>
        </w:tc>
      </w:tr>
      <w:tr w14:paraId="7CEFEFF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4B24A7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8C5C49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7B68355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CACC97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这节课我们一起学习了注射法（一），让学生知道解除患者思想顾虑，分散其注意力，使其尽可能身心放松。</w:t>
            </w:r>
          </w:p>
        </w:tc>
        <w:tc>
          <w:tcPr>
            <w:tcW w:w="1650" w:type="dxa"/>
            <w:tcBorders>
              <w:tl2br w:val="nil"/>
              <w:tr2bl w:val="nil"/>
            </w:tcBorders>
            <w:vAlign w:val="center"/>
          </w:tcPr>
          <w:p w14:paraId="5C2D328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5B4242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178E96A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7E4A0A4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4B3616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简述减轻患者疼痛的注射技术</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199F5D8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BCF29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2221432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7DFC32F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展示注射法（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8A73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（五）选择合适的注射部位</w:t>
            </w:r>
          </w:p>
          <w:p w14:paraId="6BBDF9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注射应避免损伤神经、血管（动、静脉注射除外），注射部位局部应无炎症、损伤、瘢痕、硬结、皮肤病。对需长期注射的患者，应经常更换注射部位。</w:t>
            </w:r>
          </w:p>
          <w:p w14:paraId="53CAC2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（六）注射前排尽空气</w:t>
            </w:r>
          </w:p>
          <w:p w14:paraId="483DC8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注射前必须排尽注射器内空气，特别是静脉、动脉注射，以防气体进入血管形成栓塞。排气时，还应防止药液浪费。</w:t>
            </w:r>
          </w:p>
          <w:p w14:paraId="5003C9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（七）掌握合适的进针角度和深度</w:t>
            </w:r>
          </w:p>
          <w:p w14:paraId="247AD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各种注射法分别有不同的进针角度和深度要求（图 7-7）；进针时不可把针梗全部刺入注射部位，以防不慎断针时增加处理的难度。</w:t>
            </w:r>
          </w:p>
          <w:p w14:paraId="593A0A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531745" cy="829310"/>
                  <wp:effectExtent l="0" t="0" r="190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2531745" cy="829310"/>
                          </a:xfrm>
                          <a:prstGeom prst="rect">
                            <a:avLst/>
                          </a:prstGeom>
                          <a:noFill/>
                          <a:ln>
                            <a:noFill/>
                          </a:ln>
                        </pic:spPr>
                      </pic:pic>
                    </a:graphicData>
                  </a:graphic>
                </wp:inline>
              </w:drawing>
            </w:r>
          </w:p>
          <w:p w14:paraId="11F6E1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320925" cy="1151890"/>
                  <wp:effectExtent l="0" t="0" r="3175" b="1016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3"/>
                          <a:stretch>
                            <a:fillRect/>
                          </a:stretch>
                        </pic:blipFill>
                        <pic:spPr>
                          <a:xfrm>
                            <a:off x="0" y="0"/>
                            <a:ext cx="2320925" cy="1151890"/>
                          </a:xfrm>
                          <a:prstGeom prst="rect">
                            <a:avLst/>
                          </a:prstGeom>
                          <a:noFill/>
                          <a:ln>
                            <a:noFill/>
                          </a:ln>
                        </pic:spPr>
                      </pic:pic>
                    </a:graphicData>
                  </a:graphic>
                </wp:inline>
              </w:drawing>
            </w:r>
          </w:p>
          <w:p w14:paraId="582D34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55783C3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通过教师讲解，了解注射法（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696BC0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4CBD3A4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7700C1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43C1613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D2AA2B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这节课我们一起学习了注射法（</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），让学生知道注射前必须排尽注射器内空气，特别是静脉、动脉注射。</w:t>
            </w:r>
          </w:p>
        </w:tc>
        <w:tc>
          <w:tcPr>
            <w:tcW w:w="1650" w:type="dxa"/>
            <w:tcBorders>
              <w:tl2br w:val="nil"/>
              <w:tr2bl w:val="nil"/>
            </w:tcBorders>
            <w:vAlign w:val="center"/>
          </w:tcPr>
          <w:p w14:paraId="35A7434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45404A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083720F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27DB30D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44BC8F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简述合适的进针角度和深度</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2DE30F8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BC477D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19A7D16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088B005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展示注射法（</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6EF76002">
            <w:pPr>
              <w:keepNext w:val="0"/>
              <w:keepLines w:val="0"/>
              <w:widowControl w:val="0"/>
              <w:suppressLineNumbers w:val="0"/>
              <w:autoSpaceDE w:val="0"/>
              <w:autoSpaceDN/>
              <w:spacing w:before="0" w:beforeAutospacing="0" w:after="0" w:afterAutospacing="0" w:line="360" w:lineRule="auto"/>
              <w:ind w:left="0" w:right="0" w:firstLine="422" w:firstLineChars="200"/>
              <w:jc w:val="both"/>
              <w:rPr>
                <w:rFonts w:hint="eastAsia" w:ascii="宋体" w:hAnsi="宋体" w:eastAsia="宋体" w:cs="宋体"/>
                <w:b/>
                <w:bCs w:val="0"/>
                <w:color w:val="000000"/>
                <w:kern w:val="2"/>
                <w:sz w:val="21"/>
                <w:szCs w:val="21"/>
              </w:rPr>
            </w:pPr>
            <w:r>
              <w:rPr>
                <w:rFonts w:hint="eastAsia" w:ascii="宋体" w:hAnsi="宋体" w:eastAsia="宋体" w:cs="宋体"/>
                <w:b/>
                <w:bCs w:val="0"/>
                <w:color w:val="000000"/>
                <w:kern w:val="2"/>
                <w:sz w:val="21"/>
                <w:szCs w:val="21"/>
                <w:lang w:val="en-US" w:eastAsia="zh-CN" w:bidi="ar"/>
              </w:rPr>
              <w:t>（八）注药前检查回血</w:t>
            </w:r>
          </w:p>
          <w:p w14:paraId="2C629738">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进针后，推注药液前，应抽动注射器活塞，检查有无回血。动、静脉注射必须见有回血方可推注药物。皮下、肌内注射如有回血，须拔出针头重新进针。</w:t>
            </w:r>
          </w:p>
          <w:p w14:paraId="635D17BD">
            <w:pPr>
              <w:keepNext w:val="0"/>
              <w:keepLines w:val="0"/>
              <w:widowControl w:val="0"/>
              <w:suppressLineNumbers w:val="0"/>
              <w:autoSpaceDE w:val="0"/>
              <w:autoSpaceDN/>
              <w:spacing w:before="0" w:beforeAutospacing="0" w:after="0" w:afterAutospacing="0" w:line="360" w:lineRule="auto"/>
              <w:ind w:left="0" w:right="0" w:firstLine="422" w:firstLineChars="200"/>
              <w:jc w:val="both"/>
              <w:rPr>
                <w:rFonts w:hint="eastAsia" w:ascii="宋体" w:hAnsi="宋体" w:eastAsia="宋体" w:cs="宋体"/>
                <w:b/>
                <w:bCs w:val="0"/>
                <w:color w:val="000000"/>
                <w:kern w:val="2"/>
                <w:sz w:val="21"/>
                <w:szCs w:val="21"/>
              </w:rPr>
            </w:pPr>
            <w:r>
              <w:rPr>
                <w:rFonts w:hint="eastAsia" w:ascii="宋体" w:hAnsi="宋体" w:eastAsia="宋体" w:cs="宋体"/>
                <w:b/>
                <w:bCs w:val="0"/>
                <w:color w:val="000000"/>
                <w:kern w:val="2"/>
                <w:sz w:val="21"/>
                <w:szCs w:val="21"/>
                <w:lang w:val="en-US" w:eastAsia="zh-CN" w:bidi="ar"/>
              </w:rPr>
              <w:t>（九）应用减轻患者疼痛的注射技术</w:t>
            </w:r>
          </w:p>
          <w:p w14:paraId="351BFE5B">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（1）解除患者思想顾虑，分散其注意力，使其尽可能身心放松。</w:t>
            </w:r>
          </w:p>
          <w:p w14:paraId="66EE6F10">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（2）指导并协助患者采取合适体位，便于进针。</w:t>
            </w:r>
          </w:p>
          <w:p w14:paraId="58467A20">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（3）注射时做到“二快一慢伴匀速”，即进针、拔针快，推药速度缓慢并均匀。</w:t>
            </w:r>
          </w:p>
          <w:p w14:paraId="7EE7E3DC">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（4）注射刺激性较强的药物或油剂，应选用较长的针头，进针要深。如需同时注射多种药物，一般先注射刺激性较弱的药物，再注射刺激性较强的药物。</w:t>
            </w:r>
          </w:p>
          <w:p w14:paraId="51D6F0A4">
            <w:pPr>
              <w:keepNext w:val="0"/>
              <w:keepLines w:val="0"/>
              <w:widowControl w:val="0"/>
              <w:suppressLineNumbers w:val="0"/>
              <w:autoSpaceDE w:val="0"/>
              <w:autoSpaceDN/>
              <w:spacing w:before="0" w:beforeAutospacing="0" w:after="0" w:afterAutospacing="0" w:line="360" w:lineRule="auto"/>
              <w:ind w:left="0" w:right="0" w:firstLine="422" w:firstLineChars="200"/>
              <w:jc w:val="both"/>
              <w:rPr>
                <w:rFonts w:hint="eastAsia" w:ascii="宋体" w:hAnsi="宋体" w:eastAsia="宋体" w:cs="宋体"/>
                <w:b/>
                <w:bCs w:val="0"/>
                <w:color w:val="000000"/>
                <w:kern w:val="2"/>
                <w:sz w:val="21"/>
                <w:szCs w:val="21"/>
              </w:rPr>
            </w:pPr>
            <w:r>
              <w:rPr>
                <w:rFonts w:hint="eastAsia" w:ascii="宋体" w:hAnsi="宋体" w:eastAsia="宋体" w:cs="宋体"/>
                <w:b/>
                <w:bCs w:val="0"/>
                <w:color w:val="000000"/>
                <w:kern w:val="2"/>
                <w:sz w:val="21"/>
                <w:szCs w:val="21"/>
                <w:lang w:val="en-US" w:eastAsia="zh-CN" w:bidi="ar"/>
              </w:rPr>
              <w:t>（十）严格执行消毒隔离制度</w:t>
            </w:r>
          </w:p>
          <w:p w14:paraId="3228003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注射时做到一人一套物品：包括注射器、针头、止血带、棉垫。所用物品须按消毒隔离制度处理；对一次性用物应按一次性物品处理原则进行处理，不可随意丢弃。</w:t>
            </w:r>
          </w:p>
          <w:p w14:paraId="5CACD7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2E14DD0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通过教师讲解，了解注射法（</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2F2DC21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F97A05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F6361C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28DAAB4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9BE99E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这节课我们一起学习了注射法（</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），让学生知道说明注射时做到“二快一慢伴匀速”，即进针、拔针快，推药速度缓慢并均匀。</w:t>
            </w:r>
          </w:p>
        </w:tc>
        <w:tc>
          <w:tcPr>
            <w:tcW w:w="1650" w:type="dxa"/>
            <w:tcBorders>
              <w:tl2br w:val="nil"/>
              <w:tr2bl w:val="nil"/>
            </w:tcBorders>
            <w:vAlign w:val="center"/>
          </w:tcPr>
          <w:p w14:paraId="13A3AF5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F85FC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10AD36E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0B09A6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B05BAF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简述减轻患者疼痛的注射技术</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1DB1AEE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43B98A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BE2791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5DEAC7A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展示注射法（</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3BC93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二、药液抽吸</w:t>
            </w:r>
          </w:p>
          <w:p w14:paraId="259A12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52ED76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准确抽吸药液，为注射或输液等治疗做好准备。</w:t>
            </w:r>
          </w:p>
          <w:p w14:paraId="545130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38C5B4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（1）医嘱是否准确无误。</w:t>
            </w:r>
          </w:p>
          <w:p w14:paraId="1649EE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（2）患者是否在治疗现场。</w:t>
            </w:r>
          </w:p>
          <w:p w14:paraId="73BBDA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（3）患者对给药计划的了解、认识、心理反应以及合作程度，是否愿意配合给药。</w:t>
            </w:r>
          </w:p>
          <w:p w14:paraId="7FB60A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190B3E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w:t>
            </w:r>
          </w:p>
          <w:p w14:paraId="4F5B82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与医嘱相应的注射卡及药物、适宜型号的注射器与针头、消毒液、无菌棉签、无菌持物镊及罐、无菌纱布，必要时备启瓶器、砂轮、弯盘。</w:t>
            </w:r>
          </w:p>
          <w:p w14:paraId="254A66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在治疗现场，理解给药目的，并愿意配合给药。</w:t>
            </w:r>
          </w:p>
          <w:p w14:paraId="53528D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符合无菌操作的环境要求。</w:t>
            </w:r>
          </w:p>
          <w:p w14:paraId="000EAC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19C6B7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药液抽吸法的操作步骤及要点说明见表 7-9。</w:t>
            </w:r>
          </w:p>
          <w:p w14:paraId="1816B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041525" cy="1557020"/>
                  <wp:effectExtent l="0" t="0" r="15875"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4"/>
                          <a:stretch>
                            <a:fillRect/>
                          </a:stretch>
                        </pic:blipFill>
                        <pic:spPr>
                          <a:xfrm>
                            <a:off x="0" y="0"/>
                            <a:ext cx="2041525" cy="1557020"/>
                          </a:xfrm>
                          <a:prstGeom prst="rect">
                            <a:avLst/>
                          </a:prstGeom>
                          <a:noFill/>
                          <a:ln>
                            <a:noFill/>
                          </a:ln>
                        </pic:spPr>
                      </pic:pic>
                    </a:graphicData>
                  </a:graphic>
                </wp:inline>
              </w:drawing>
            </w:r>
          </w:p>
          <w:p w14:paraId="378093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53942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（1）护士坚持无菌原则，严格遵守查对制度。</w:t>
            </w:r>
          </w:p>
          <w:p w14:paraId="1E8ADA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（2）手法规范，抽吸量准确。</w:t>
            </w:r>
          </w:p>
          <w:p w14:paraId="07E16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（3）药液未被污染，未被浪费。</w:t>
            </w:r>
          </w:p>
          <w:p w14:paraId="721870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109CC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（1）根据药液的性质抽吸药液。混悬剂摇匀后立即吸取；吸取结晶、粉剂药时，用 0.9% 氯化钠溶液、或注射用水、或专用溶媒将其充分溶解后吸取；油剂可稍加温或双手对搓药瓶（药液易被热破坏者除外）后，用稍粗针头吸取。</w:t>
            </w:r>
          </w:p>
          <w:p w14:paraId="78D8BE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（2）抽尽药液空瓶或安瓿不可立即丢弃，需备再次查对。</w:t>
            </w:r>
          </w:p>
          <w:p w14:paraId="0242D2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1890E49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通过教师讲解，了解注射法（</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779C96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675AD97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1DB14D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48C05D6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A5A9EF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这节课我们一起学习了注射法（</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），让学生知道护士坚持无菌原则，严格遵守查对制度。</w:t>
            </w:r>
          </w:p>
        </w:tc>
        <w:tc>
          <w:tcPr>
            <w:tcW w:w="1650" w:type="dxa"/>
            <w:tcBorders>
              <w:tl2br w:val="nil"/>
              <w:tr2bl w:val="nil"/>
            </w:tcBorders>
            <w:vAlign w:val="center"/>
          </w:tcPr>
          <w:p w14:paraId="71A9A45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881B6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06523B9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24C2CC7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6178CA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简述药液抽吸法的操作步骤</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694E38F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37F41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61940D7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03F8B79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展示注射法（</w:t>
            </w:r>
            <w:r>
              <w:rPr>
                <w:rFonts w:hint="eastAsia" w:ascii="宋体" w:hAnsi="宋体" w:cs="宋体"/>
                <w:b w:val="0"/>
                <w:bCs/>
                <w:color w:val="C00000"/>
                <w:kern w:val="2"/>
                <w:sz w:val="21"/>
                <w:szCs w:val="21"/>
                <w:lang w:val="en-US" w:eastAsia="zh-CN" w:bidi="ar"/>
              </w:rPr>
              <w:t>五</w:t>
            </w:r>
            <w:r>
              <w:rPr>
                <w:rFonts w:hint="eastAsia" w:ascii="宋体" w:hAnsi="宋体" w:eastAsia="宋体" w:cs="宋体"/>
                <w:b w:val="0"/>
                <w:bCs/>
                <w:color w:val="C00000"/>
                <w:kern w:val="2"/>
                <w:sz w:val="21"/>
                <w:szCs w:val="21"/>
                <w:lang w:val="en-US" w:eastAsia="zh-CN" w:bidi="ar"/>
              </w:rPr>
              <w:t>）</w:t>
            </w:r>
          </w:p>
          <w:p w14:paraId="0A525C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三、常用注射技术</w:t>
            </w:r>
          </w:p>
          <w:p w14:paraId="587C79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（一）皮内注射法</w:t>
            </w:r>
          </w:p>
          <w:p w14:paraId="25EA1B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皮内注射法是将少量药液注射于表皮与真皮之间的方法。</w:t>
            </w:r>
          </w:p>
          <w:p w14:paraId="65288F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237606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（1）进行药物过敏试验，以观察有无过敏反应。</w:t>
            </w:r>
          </w:p>
          <w:p w14:paraId="424B0F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（2）预防接种。</w:t>
            </w:r>
          </w:p>
          <w:p w14:paraId="268008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（3）局部麻醉的起始步骤。</w:t>
            </w:r>
          </w:p>
          <w:p w14:paraId="1D759F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0EB2A1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（1）医嘱及治疗卡是否准确无误。</w:t>
            </w:r>
          </w:p>
          <w:p w14:paraId="10F7D5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（2）了解患者的病情以及治疗目的，患者对给药计划的了解、认识、心理反应以及合作程度。</w:t>
            </w:r>
          </w:p>
          <w:p w14:paraId="029B51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（3）患者的用药史、过敏史。进行药物过敏试验前需了解患者是否处于空腹、紧张、疲劳或麻醉状态。</w:t>
            </w:r>
          </w:p>
          <w:p w14:paraId="2F5A5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注射部位皮肤情况。根据注射目的选择具体注射部位：药物过敏试验选择前臂掌侧下段，因该处皮肤较薄，易于注射，且易辨认局部反应；预防接种常选择上臂三角肌下缘；局部麻醉常选择实施局部麻醉处。</w:t>
            </w:r>
          </w:p>
          <w:p w14:paraId="273A35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465CE2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衣帽整洁，修剪指甲，洗手，戴口罩。</w:t>
            </w:r>
          </w:p>
          <w:p w14:paraId="5DEDA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w:t>
            </w:r>
          </w:p>
          <w:p w14:paraId="5E9D7D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（1）与医嘱相符的注射本或注射卡、药物。</w:t>
            </w:r>
          </w:p>
          <w:p w14:paraId="7F50DF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（2）抽吸药液用物，选择 1 mL 注射器、4 12 号针头。</w:t>
            </w:r>
          </w:p>
          <w:p w14:paraId="1CAFCC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（3）治疗车及常规注射盘。注射盘指用来放置注射用物的治疗盘，盘内铺无菌巾，盘外备皮肤消毒液和棉签。另备污物桶、锐器回收盒、手消毒剂。</w:t>
            </w:r>
          </w:p>
          <w:p w14:paraId="4714F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（4）如为药物过敏试验，备过敏急救盒，盒内有 0.1% 盐酸肾上腺素 1 支、带针头的 2 mL 注射器 1 副。</w:t>
            </w:r>
          </w:p>
          <w:p w14:paraId="4CA34B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了解给药目的与注意事项，配合给药。</w:t>
            </w:r>
          </w:p>
          <w:p w14:paraId="4F4A58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光线明亮；符合无菌要求。</w:t>
            </w:r>
          </w:p>
          <w:p w14:paraId="41E321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7F39CF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皮内注射法的操作步骤及要点说明见表 7-10。</w:t>
            </w:r>
          </w:p>
          <w:p w14:paraId="02E125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00935" cy="2256790"/>
                  <wp:effectExtent l="0" t="0" r="18415" b="1016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2400935" cy="2256790"/>
                          </a:xfrm>
                          <a:prstGeom prst="rect">
                            <a:avLst/>
                          </a:prstGeom>
                          <a:noFill/>
                          <a:ln>
                            <a:noFill/>
                          </a:ln>
                        </pic:spPr>
                      </pic:pic>
                    </a:graphicData>
                  </a:graphic>
                </wp:inline>
              </w:drawing>
            </w:r>
          </w:p>
          <w:p w14:paraId="184BEC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0FB043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（1）护士严格遵守注射原则。</w:t>
            </w:r>
          </w:p>
          <w:p w14:paraId="41E309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（2）关心患者，注意观察询问反应。</w:t>
            </w:r>
          </w:p>
          <w:p w14:paraId="772A4E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（3）沟通交流有效，能让患者理解皮内注射的目的，配合操作。</w:t>
            </w:r>
          </w:p>
          <w:p w14:paraId="281D6C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（4）过敏试验结果判断正确，记录准确。</w:t>
            </w:r>
          </w:p>
          <w:p w14:paraId="4B6606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29A0D2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（1）严格执行查对制度和无菌操作原则，严格遵守消毒隔离制度。</w:t>
            </w:r>
          </w:p>
          <w:p w14:paraId="7F1E1E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（2）进针角度不能过大，以免药液进入皮下或药液漏出。特别是卡介苗</w:t>
            </w:r>
          </w:p>
          <w:p w14:paraId="71D9BB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皮内注射时切不可注射到皮下，以免引起严重深部脓肿。</w:t>
            </w:r>
          </w:p>
          <w:p w14:paraId="7D60AA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（3）药物过敏试验需遵守过敏试验相关注意事项，参见第五节。</w:t>
            </w:r>
          </w:p>
          <w:p w14:paraId="33C192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【健康教育】</w:t>
            </w:r>
          </w:p>
          <w:p w14:paraId="042C24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（1）告知患者用药的目的，可能出现的不良反应与注意事项。</w:t>
            </w:r>
          </w:p>
          <w:p w14:paraId="442957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（2）药物过敏试验者告知患者过敏试验前不宜空腹或过度疲劳，过敏试验后不要按揉局部，观察期间不能离开观察区。</w:t>
            </w:r>
          </w:p>
          <w:p w14:paraId="382C01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（3）预防接种者告知患者或家属正常的接种后反应，卡介苗接种者局部出现红肿时不能热敷。</w:t>
            </w:r>
          </w:p>
          <w:p w14:paraId="45E11A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（二）皮下注射法</w:t>
            </w:r>
          </w:p>
          <w:p w14:paraId="6F0D8C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皮下注射法是将少量无菌药液或生物制剂注入皮下组织的方法。用于皮下注射的常用部位有：上臂三角肌下缘、两侧腹壁、后背、大腿前侧和外侧。</w:t>
            </w:r>
          </w:p>
          <w:p w14:paraId="375FE6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663F75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（1）注入小剂量药物，用于不宜口服给药，而需在一定时间内发生药效时。</w:t>
            </w:r>
          </w:p>
          <w:p w14:paraId="7BA5E8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（2）预防接种。</w:t>
            </w:r>
          </w:p>
          <w:p w14:paraId="29CA31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（3）局部麻醉用药。</w:t>
            </w:r>
          </w:p>
          <w:p w14:paraId="1D8F61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7EEADC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（1）医嘱及治疗卡是否准确无误。</w:t>
            </w:r>
          </w:p>
          <w:p w14:paraId="230092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（2）了解患者的病情与治疗目的，患者对给药计划的了解、认识、心理反应以及合作程度。</w:t>
            </w:r>
          </w:p>
          <w:p w14:paraId="42AFE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（3）患者的用药史、过敏史。进行预防接种前应了解患者有无发热。</w:t>
            </w:r>
          </w:p>
          <w:p w14:paraId="452477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注射部位皮肤情况。</w:t>
            </w:r>
          </w:p>
          <w:p w14:paraId="478932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699EB8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衣帽整洁，修剪指甲，洗手，戴口罩。</w:t>
            </w:r>
          </w:p>
          <w:p w14:paraId="2362A4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w:t>
            </w:r>
          </w:p>
          <w:p w14:paraId="40B763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（1）与医嘱相符的注射本或注射卡、药物。</w:t>
            </w:r>
          </w:p>
          <w:p w14:paraId="18252D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（2）抽吸药液用物，选择 1 mL 或 2 mL 注射器、51</w:t>
            </w:r>
          </w:p>
          <w:p w14:paraId="571E1C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号针头。</w:t>
            </w:r>
          </w:p>
          <w:p w14:paraId="006F5E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（3）治疗车及常规注射盘，另备污物桶、锐器回收盒、手消毒剂。</w:t>
            </w:r>
          </w:p>
          <w:p w14:paraId="7A346C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了解给药目的与注意事项，配合给药。接受胰岛素注射前需备好可进食的食物。</w:t>
            </w:r>
          </w:p>
          <w:p w14:paraId="37860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光线明亮；符合无菌要求。</w:t>
            </w:r>
          </w:p>
          <w:p w14:paraId="16E890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【实施】 </w:t>
            </w:r>
          </w:p>
          <w:p w14:paraId="5C55E8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皮下注射法的操作步骤及要点说明见表 7-11。</w:t>
            </w:r>
          </w:p>
          <w:p w14:paraId="730A7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97150" cy="2297430"/>
                  <wp:effectExtent l="0" t="0" r="1270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2597150" cy="2297430"/>
                          </a:xfrm>
                          <a:prstGeom prst="rect">
                            <a:avLst/>
                          </a:prstGeom>
                          <a:noFill/>
                          <a:ln>
                            <a:noFill/>
                          </a:ln>
                        </pic:spPr>
                      </pic:pic>
                    </a:graphicData>
                  </a:graphic>
                </wp:inline>
              </w:drawing>
            </w:r>
          </w:p>
          <w:p w14:paraId="28E206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542B0B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（1）护士严格遵守注射原则。</w:t>
            </w:r>
          </w:p>
          <w:p w14:paraId="62E595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（2）注射部位定位正确，注射角度深度适宜。</w:t>
            </w:r>
          </w:p>
          <w:p w14:paraId="120C99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（3）关心患者，注意观察询问反应。</w:t>
            </w:r>
          </w:p>
          <w:p w14:paraId="4F7C1F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（4）沟通交流有效，能让患者理解注射目的，配合操作。</w:t>
            </w:r>
          </w:p>
          <w:p w14:paraId="53CDEC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6AB976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（1）严格遵守注射原则。</w:t>
            </w:r>
          </w:p>
          <w:p w14:paraId="795753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（2）对皮肤有刺激性的药物一般不做皮下注射。</w:t>
            </w:r>
          </w:p>
          <w:p w14:paraId="01CA99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（3）进针角度不超过 45°，以免刺入肌层；对过于消瘦者，可捏起局部组织，进针深度酌减。</w:t>
            </w:r>
          </w:p>
          <w:p w14:paraId="681B1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【健康教育】</w:t>
            </w:r>
          </w:p>
          <w:p w14:paraId="7BCFD0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需要长期皮下注射者，指导患者正确实施自我注射。帮助患者建立轮流使用注射部位的计划，经常更换注射部位，以促进药物充分吸收。</w:t>
            </w:r>
          </w:p>
          <w:p w14:paraId="2228FE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（三）肌内注射法</w:t>
            </w:r>
          </w:p>
          <w:p w14:paraId="2F6B0B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肌内注射法是将一定量无菌药液注入肌肉组织的方法。</w:t>
            </w:r>
          </w:p>
          <w:p w14:paraId="014389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260681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注入药物，用于不宜或不能口服、静脉注射，且要求比皮下注射更快发挥疗效时。</w:t>
            </w:r>
          </w:p>
          <w:p w14:paraId="3785C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【注射部位】</w:t>
            </w:r>
          </w:p>
          <w:p w14:paraId="36B589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一般选择肌肉丰厚且距大血管、大神经较远处，其中最常用的部位为臀大肌，其次为臀中肌、臀小肌、股外侧肌及上臂三角肌。</w:t>
            </w:r>
          </w:p>
          <w:p w14:paraId="657B2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臀大肌注射定位法　臀大肌注射前需正确定位，以免损伤坐骨神经。</w:t>
            </w:r>
          </w:p>
          <w:p w14:paraId="30F5E2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（1）十字法：从臀裂顶点向左或向右侧作一水平线，然后从髂嵴最高点作一垂线，将一侧臀部划分为四个象限，其外上象限避开内角（髂后上棘至股骨大转子连线）为注射区。</w:t>
            </w:r>
          </w:p>
          <w:p w14:paraId="5ED6AE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（2）连线法：从髂前上棘至尾骨作一连线，其外 1/3 处为注射部位。</w:t>
            </w:r>
          </w:p>
          <w:p w14:paraId="0D0B7D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臀中肌、臀小肌注射定位法</w:t>
            </w:r>
          </w:p>
          <w:p w14:paraId="78591F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（1）构角法：操作者将食指尖和中指尖分别置于患者髂前上棘和髂嵴下缘处，在髂嵴、食指、中指之间构成一个三角形区域，为注射区。</w:t>
            </w:r>
          </w:p>
          <w:p w14:paraId="5EECA6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（2）三指法：髂前上棘外侧三横指处为注射区域（以患者的手指宽度为准）。</w:t>
            </w:r>
          </w:p>
          <w:p w14:paraId="07590B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股外侧肌注射定位法　在大腿中段外侧，一般成人可取髋关节下 10 cm至膝关节上 10 cm，约 7.5 cm 宽的范围内为注射部位（图 7-18）。此处大血管、神经干很少通过，且注射范围较广，可供多次注射。尤其适用于 2 岁以下的幼儿。</w:t>
            </w:r>
          </w:p>
          <w:p w14:paraId="11DADF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上臂三角肌注射定位法　取上臂外侧，肩峰下 2 ～ 3 横指处。</w:t>
            </w:r>
          </w:p>
          <w:p w14:paraId="6A3DFE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7320D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（1）医嘱及治疗卡准确无误。</w:t>
            </w:r>
          </w:p>
          <w:p w14:paraId="3B4082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（2）了解患者的病情与治疗目的，患者对给药计划的了解、认识、心理反应以及合作程度。</w:t>
            </w:r>
          </w:p>
          <w:p w14:paraId="3FABC2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（3）患者的用药史、过敏史。</w:t>
            </w:r>
          </w:p>
          <w:p w14:paraId="1EA9B3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（4）注射部位皮肤情况。</w:t>
            </w:r>
          </w:p>
          <w:p w14:paraId="598C92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62C8C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衣帽整洁，修剪指甲，洗手，戴口罩。</w:t>
            </w:r>
          </w:p>
          <w:p w14:paraId="2A1882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w:t>
            </w:r>
          </w:p>
          <w:p w14:paraId="66C240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（1）与医嘱相符的注射本或注射卡、药物。</w:t>
            </w:r>
          </w:p>
          <w:p w14:paraId="5BAF16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（2）抽吸药液用物，选择 2 mL 或 5 mL 注射器、6 ～ 7 号针头。</w:t>
            </w:r>
          </w:p>
          <w:p w14:paraId="05D8A1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（3）治疗车及常规注射盘，另备污物桶、锐器回收盒、手消毒剂。</w:t>
            </w:r>
          </w:p>
          <w:p w14:paraId="2840F4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了解给药目的与注意事项，配合给药。</w:t>
            </w:r>
          </w:p>
          <w:p w14:paraId="699D37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光线明亮；符合无菌要求。</w:t>
            </w:r>
          </w:p>
          <w:p w14:paraId="7CA024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72C8B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肌内注射法的操作步骤及要点说明见表 7-12。</w:t>
            </w:r>
          </w:p>
          <w:p w14:paraId="19524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61920" cy="2423160"/>
                  <wp:effectExtent l="0" t="0" r="5080"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2661920" cy="2423160"/>
                          </a:xfrm>
                          <a:prstGeom prst="rect">
                            <a:avLst/>
                          </a:prstGeom>
                          <a:noFill/>
                          <a:ln>
                            <a:noFill/>
                          </a:ln>
                        </pic:spPr>
                      </pic:pic>
                    </a:graphicData>
                  </a:graphic>
                </wp:inline>
              </w:drawing>
            </w:r>
          </w:p>
          <w:p w14:paraId="04013B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5D6F1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（1）护士严格遵守注射原则。</w:t>
            </w:r>
          </w:p>
          <w:p w14:paraId="0CB5E1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（2）注射部位定位正确，注射角度、深度适宜，未发生断针等不良反应。</w:t>
            </w:r>
          </w:p>
          <w:p w14:paraId="3828EA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（3）关心患者，注意观察询问反应。</w:t>
            </w:r>
          </w:p>
          <w:p w14:paraId="0464C6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（4）沟通交流有效，能让患者理解注射目的，配合操作。</w:t>
            </w:r>
          </w:p>
          <w:p w14:paraId="32E9F4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54E28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（1）严格遵守注射原则。</w:t>
            </w:r>
          </w:p>
          <w:p w14:paraId="5799A8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（2）两岁以下婴幼儿臀大肌发育不完善，有损伤坐骨神经的风险，故不宜选用臀大肌肌内注射。</w:t>
            </w:r>
          </w:p>
          <w:p w14:paraId="7E784A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（3）对需长期肌内注射者，应有计划地更换注射部位，避免或减少硬结的发生。</w:t>
            </w:r>
          </w:p>
          <w:p w14:paraId="03069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（4）注射过程中若不慎针头折断，嘱患者保持原位不动，固定局部组织，以防断针移位，迅速用无菌血管钳夹住断端取出；如断端全部埋入肌肉，立即请外科医生处理。</w:t>
            </w:r>
          </w:p>
          <w:p w14:paraId="1F9BBC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【健康教育】</w:t>
            </w:r>
          </w:p>
          <w:p w14:paraId="62A2EC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（1）注射前指导患者取合适的体位，有利于肌肉松弛，减轻疼痛。臀大肌肌内注射时侧卧位应上腿伸直，下腿稍弯曲；俯卧位应两足尖相对，足跟分开。</w:t>
            </w:r>
          </w:p>
          <w:p w14:paraId="68B70F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（2）告知患者注射后局部不宜立即热敷或按摩，以免局部皮下出血。如因长期多次注射引起局部硬结，可采用热敷、理疗等处理。</w:t>
            </w:r>
          </w:p>
          <w:p w14:paraId="16A3E0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（四）静脉注射法</w:t>
            </w:r>
          </w:p>
          <w:p w14:paraId="6700BD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静脉注射法是自静脉注入药液的方法。</w:t>
            </w:r>
          </w:p>
          <w:p w14:paraId="6EBB9C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37EDF6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（1）用于药物不宜口服、皮下、肌内注射，或需迅速发生药效时。</w:t>
            </w:r>
          </w:p>
          <w:p w14:paraId="591AA8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（2）注入药物作某些诊断性检查。</w:t>
            </w:r>
          </w:p>
          <w:p w14:paraId="215C21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（3）静脉输液、输血或营养治疗的前驱步骤。</w:t>
            </w:r>
          </w:p>
          <w:p w14:paraId="1CA9EB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【注射部位】</w:t>
            </w:r>
          </w:p>
          <w:p w14:paraId="5CDF8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四肢浅静脉　常用的有上肢肘部贵要静脉、正中静脉、头静脉、腕部及手背部浅静脉网，下肢浅静脉常用大隐静脉、小隐静脉、足背静脉。</w:t>
            </w:r>
          </w:p>
          <w:p w14:paraId="5DD31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头皮静脉　因为头皮静脉丰富，分支多，且表浅易见，易于固定，方便患儿肢体活动，故小儿静脉穿刺多采用颞浅静脉、额前正中静脉、耳后静脉、枕静脉等。</w:t>
            </w:r>
          </w:p>
          <w:p w14:paraId="68E8F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股静脉　特殊情况如抢救危重患者、加压输液等采用股静脉注射。股静脉位于股三角区股动脉内侧约 0.5 cm 处，股动脉走向和髂前上棘与耻骨结节连线的中点相交。</w:t>
            </w:r>
          </w:p>
          <w:p w14:paraId="4D58C2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2517E4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（1）医嘱及治疗卡是否准确无误。</w:t>
            </w:r>
          </w:p>
          <w:p w14:paraId="2375C5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（2）了解患者的病情与治疗目的，患者对给药计划的了解、认识、心理反应以及合作程度。</w:t>
            </w:r>
          </w:p>
          <w:p w14:paraId="50E601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（3）患者的用药史、过敏史。</w:t>
            </w:r>
          </w:p>
          <w:p w14:paraId="016479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（4）穿刺局部皮肤情况，静脉充盈度与静脉弹性。</w:t>
            </w:r>
          </w:p>
          <w:p w14:paraId="3D69A7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79FA42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衣帽整洁，修剪指甲，洗手，戴口罩。</w:t>
            </w:r>
          </w:p>
          <w:p w14:paraId="0DFF89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w:t>
            </w:r>
          </w:p>
          <w:p w14:paraId="5D8156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（1）与医嘱相符的注射本或注射卡、药物。</w:t>
            </w:r>
          </w:p>
          <w:p w14:paraId="1D7A66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（2）抽吸药液用物，选择合适的注射器与针头。</w:t>
            </w:r>
          </w:p>
          <w:p w14:paraId="4E6C83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（3）治疗车，常规注射盘内添加止血带、注射用小枕，必要时备胶布。另备污物桶、锐器回收盒、手消毒剂。</w:t>
            </w:r>
          </w:p>
          <w:p w14:paraId="2BCFAC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（4）为经血液传播疾病患者进行穿刺时，需备一次性手套；小儿头皮静脉穿刺时需备剃毛用具。</w:t>
            </w:r>
          </w:p>
          <w:p w14:paraId="4DE892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了解给药目的与注意事项，配合给药。</w:t>
            </w:r>
          </w:p>
          <w:p w14:paraId="1F11D9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光线明亮；符合无菌要求。</w:t>
            </w:r>
          </w:p>
          <w:p w14:paraId="2AED80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04C409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静脉注射法的操作步骤及要点说明见表 7-13。</w:t>
            </w:r>
          </w:p>
          <w:p w14:paraId="6E09C3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40025" cy="1409065"/>
                  <wp:effectExtent l="0" t="0" r="3175"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2740025" cy="1409065"/>
                          </a:xfrm>
                          <a:prstGeom prst="rect">
                            <a:avLst/>
                          </a:prstGeom>
                          <a:noFill/>
                          <a:ln>
                            <a:noFill/>
                          </a:ln>
                        </pic:spPr>
                      </pic:pic>
                    </a:graphicData>
                  </a:graphic>
                </wp:inline>
              </w:drawing>
            </w:r>
          </w:p>
          <w:p w14:paraId="536400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701D08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（1）护士严格遵守注射原则。</w:t>
            </w:r>
          </w:p>
          <w:p w14:paraId="2C4C9A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（2）穿刺一次成功，注射部位无渗出、肿胀。</w:t>
            </w:r>
          </w:p>
          <w:p w14:paraId="3EFB7E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（3）关心患者，注意观察并询问患者有何反应。</w:t>
            </w:r>
          </w:p>
          <w:p w14:paraId="299181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（4）沟通交流有效，能让患者理解注射目的，配合操作。</w:t>
            </w:r>
          </w:p>
          <w:p w14:paraId="0FD08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61D11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（1）严格遵守注射原则。</w:t>
            </w:r>
          </w:p>
          <w:p w14:paraId="352535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（2）一般选择弹性好、相对粗直、易于固定的静脉，避开关节和静脉瓣；需长期注射者，应有计划地由小到大、由远心端到近心端选择静脉。</w:t>
            </w:r>
          </w:p>
          <w:p w14:paraId="466A32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注射刺激性强的药物，应以生理盐水为穿刺引导药液。穿刺后先注入少量生理盐水，确认针头在静脉内再换上抽有药液的注射器进行推药，以免药液外溢引起组织坏死。注射过程中随时抽回血，以确认针头是否在血管内。</w:t>
            </w:r>
          </w:p>
          <w:p w14:paraId="363AE5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（4）根据患者年龄、病情及药物性质，掌握推注药液的速度，并随时听取患者主诉，观察局部情况及病情变化。</w:t>
            </w:r>
          </w:p>
          <w:p w14:paraId="1806EB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（5）如若穿刺失败，应拔出针头，更换无菌针头后另外选择注射部位重新穿刺。</w:t>
            </w:r>
          </w:p>
          <w:p w14:paraId="5581F3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【健康教育】</w:t>
            </w:r>
          </w:p>
          <w:p w14:paraId="31910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（1）指导患者穿刺中的配合方法。</w:t>
            </w:r>
          </w:p>
          <w:p w14:paraId="68CE46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（2）指导患者拔针后的正确按压方法，告诉患者穿刺后局部不宜热敷，穿刺侧肢体短时间内不宜剧烈活动。</w:t>
            </w:r>
          </w:p>
          <w:p w14:paraId="61E7E9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【静脉注射失败的常见原因】</w:t>
            </w:r>
          </w:p>
          <w:p w14:paraId="2E25B7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（1）针头刺入过浅，针尖未刺入静脉，或虽刺入静脉，但松解止血带后静脉回缩致针头滑出血管，药液注入皮下。</w:t>
            </w:r>
          </w:p>
          <w:p w14:paraId="637088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（2）针头刺入静脉稍浅，针尖斜面未完全刺入静脉， 部分针尖斜面在血管外，抽吸虽有回血，但推药时药液溢至皮下，使穿刺局部隆起并有痛感。</w:t>
            </w:r>
          </w:p>
          <w:p w14:paraId="4AA924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（3）针头刺入较深，针尖斜面一半穿破对侧血管壁，可抽吸到回血，推注少量药液时局部可无隆起，但因部分药液溢出至深层组织，患者有痛感。</w:t>
            </w:r>
          </w:p>
          <w:p w14:paraId="4F2F02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（4）针头刺入过深，针尖斜面穿破对侧血管壁，抽吸无回血。</w:t>
            </w:r>
          </w:p>
          <w:p w14:paraId="09BD69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00E8BB6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通过教师讲解，了解注射法（</w:t>
            </w:r>
            <w:r>
              <w:rPr>
                <w:rFonts w:hint="eastAsia" w:ascii="Times New Roman" w:hAnsi="Times New Roman"/>
                <w:b/>
                <w:szCs w:val="24"/>
                <w:lang w:val="en-US" w:eastAsia="zh-CN"/>
              </w:rPr>
              <w:t>五</w:t>
            </w:r>
            <w:r>
              <w:rPr>
                <w:rFonts w:hint="eastAsia" w:ascii="Times New Roman" w:hAnsi="Times New Roman"/>
                <w:b/>
                <w:szCs w:val="24"/>
              </w:rPr>
              <w:t>）的基本理论知识。</w:t>
            </w:r>
          </w:p>
        </w:tc>
      </w:tr>
      <w:tr w14:paraId="24DADC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4D13AE0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73504A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76C9780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0B8462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这节课我们一起学习了注射法（</w:t>
            </w:r>
            <w:r>
              <w:rPr>
                <w:rFonts w:hint="eastAsia" w:ascii="宋体" w:hAnsi="宋体" w:cs="宋体"/>
                <w:b/>
                <w:bCs w:val="0"/>
                <w:kern w:val="2"/>
                <w:sz w:val="21"/>
                <w:szCs w:val="21"/>
                <w:lang w:val="en-US" w:eastAsia="zh-CN" w:bidi="ar"/>
              </w:rPr>
              <w:t>五</w:t>
            </w:r>
            <w:r>
              <w:rPr>
                <w:rFonts w:hint="eastAsia" w:ascii="宋体" w:hAnsi="宋体" w:eastAsia="宋体" w:cs="宋体"/>
                <w:b/>
                <w:bCs w:val="0"/>
                <w:kern w:val="2"/>
                <w:sz w:val="21"/>
                <w:szCs w:val="21"/>
                <w:lang w:val="en-US" w:eastAsia="zh-CN" w:bidi="ar"/>
              </w:rPr>
              <w:t>），让学生知道针头刺入过浅，针尖未刺入静脉，或虽刺入静脉，但松解止血带后静脉回缩致针头滑出血管，药液注入皮下。</w:t>
            </w:r>
          </w:p>
        </w:tc>
        <w:tc>
          <w:tcPr>
            <w:tcW w:w="1650" w:type="dxa"/>
            <w:tcBorders>
              <w:tl2br w:val="nil"/>
              <w:tr2bl w:val="nil"/>
            </w:tcBorders>
            <w:vAlign w:val="center"/>
          </w:tcPr>
          <w:p w14:paraId="386FDD0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0683D7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352218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1A071E6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94B1E4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简述静脉注射失败的常见原因</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1BAF898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09411D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2888BFF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14C78C8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展示药物过敏试验法及过敏反应的处理</w:t>
            </w:r>
            <w:r>
              <w:rPr>
                <w:rFonts w:hint="eastAsia" w:ascii="宋体" w:hAnsi="宋体" w:cs="宋体"/>
                <w:b w:val="0"/>
                <w:bCs/>
                <w:color w:val="C00000"/>
                <w:kern w:val="2"/>
                <w:sz w:val="21"/>
                <w:szCs w:val="21"/>
                <w:lang w:val="en-US" w:eastAsia="zh-CN" w:bidi="ar"/>
              </w:rPr>
              <w:t>（一）</w:t>
            </w:r>
          </w:p>
          <w:p w14:paraId="370F3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一、药物过敏反应的特点</w:t>
            </w:r>
          </w:p>
          <w:p w14:paraId="01446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药物过敏反应的基本原因是抗原抗体的相互作用。药物作为抗原或半抗原刺激过敏体质的机体产生特异性抗体（IgE、IgG 及 IgM），使 T 淋巴细胞致敏，当再次接触同类药物时，抗原抗体在致敏淋巴细胞上作用，而引起药物过敏反应。药物过敏反应属于异常的免疫反应，仅发生在少数人身上。其发生与患者的过敏体质有关，与所用药物的正常药理作用或毒性无关，也与用药的剂量、剂型、给药途径无关。一般均发生在再次用药，首次用药很少发生。</w:t>
            </w:r>
          </w:p>
          <w:p w14:paraId="477895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皮肤过敏试验可以测定 I 型皮肤过敏反应，对预报过敏性休克反应有参考价值。但应注意有少数患者会呈现假阴性反应，还有少数人在皮肤试验期间即可发生严重的过敏反应。</w:t>
            </w:r>
          </w:p>
          <w:p w14:paraId="5FE36C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二、青霉素过敏试验及过敏反应的处理</w:t>
            </w:r>
          </w:p>
          <w:p w14:paraId="6A576A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青霉素具有疗效高、毒性低的特点，主要用于敏感的革兰阳性球菌、阴性球菌和螺旋体感染。但青霉素易发生过敏反应，发生率为 5% ～ 6%，而且任何年龄、任何性别、任何剂型和剂量，任何给药途径和给药时间，均可能发生过敏反应。其过敏反应中，各种类型的变态反应（Ⅰ、Ⅱ、Ⅲ、Ⅳ）均可出现，以皮肤过敏反应和血清样反应较为多见。属Ⅰ型变态反应的过敏性休克虽然较少见，但发生、发展非常迅猛，若抢救不及时可死于严重的呼吸困难和循环衰竭。因此在使用各种青霉素制剂前都应先做过敏试验，试验结果阴性者方可用药，同时要加强青霉素使用前后的监测，及时发现过敏反应并加以处理。</w:t>
            </w:r>
          </w:p>
          <w:p w14:paraId="5D3C6A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（一）青霉素过敏反应的原因</w:t>
            </w:r>
          </w:p>
          <w:p w14:paraId="2D1F1A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青霉素过敏反应是抗原和抗体在致敏细胞上相互作用而引起。青霉素本身不具有抗原性，其制剂中所含的高分子聚合体（6- 氨基青霉烷酸）及其降解产物（青霉烯酸、青霉噻唑酸）作为半抗原进入机体后与蛋白质或多肽分子结合而形成全抗原，刺激机体产生特异性抗体 IgE。IgE 黏附于某些组织如皮肤、鼻、咽、声带、支气管黏膜下和微血管周围的肥大细胞上及血液中的嗜碱性粒细胞表面，使机体处于致敏状态。当机体再次接受类似的抗原刺激时，抗原即与特异性抗体IgE结合，导致细胞破裂，释放组胺、慢反应物质、缓激肽、5- 羟色胺等血管活性物质，这些物质分别作用于效应器官，使平滑肌收缩，微血管扩张、毛细血管通透性增高、腺体分泌增多，从而产生一系列过敏反应的临床表现。</w:t>
            </w:r>
          </w:p>
          <w:p w14:paraId="746C75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（二）青霉素过敏试验</w:t>
            </w:r>
          </w:p>
          <w:p w14:paraId="32AE6A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青霉素过敏试验的方法　确定患者无青霉素过敏史后，于患者前臂掌侧下段皮内注射 0.1 mL 青霉素皮试溶液，15 ～ 20 分钟后观察、判断、记录试验结果。</w:t>
            </w:r>
          </w:p>
          <w:p w14:paraId="5FFBD3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皮试液的配制　以每 1 mL 试验液含青霉素 200 ～ 500 U 为标准。</w:t>
            </w:r>
          </w:p>
          <w:p w14:paraId="4924B4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青霉素过敏试验的注意事项</w:t>
            </w:r>
          </w:p>
          <w:p w14:paraId="38F9FE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（1）青霉素过敏试验前详细询问患者的用药史、过敏史和家族过敏史，对青霉素过敏者禁止再做过敏试验。</w:t>
            </w:r>
          </w:p>
          <w:p w14:paraId="1322B3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（2）患者处于空腹、紧张、疲劳或麻醉状态下通常不做过敏试验。</w:t>
            </w:r>
          </w:p>
          <w:p w14:paraId="7EEBE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（3）青霉素皮试液在接近中性的溶剂中（pH 6 ～ 6.5）分解缓慢，所以药物的溶媒和稀释液应选择 0.9% 氯化钠溶液。</w:t>
            </w:r>
          </w:p>
          <w:p w14:paraId="70E58C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（4）青霉素皮试液应现配现用。因为青霉素水溶液性质不稳定，在常温下容易产生降解导致过敏反应发生。</w:t>
            </w:r>
          </w:p>
          <w:p w14:paraId="6A2CA7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（5）皮试液的配制浓度与注入剂量必须准确。</w:t>
            </w:r>
          </w:p>
          <w:p w14:paraId="5B659C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（6）准确判断试验结果。对不能准确判断是否阳性的患者，可以用另一注射器及针头，在对侧前臂相应部位注入0.1 mL 0.9%氯化钠溶液作对照试验。</w:t>
            </w:r>
          </w:p>
          <w:p w14:paraId="35951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（7）试验结果阳性者禁止使用青霉素，同时报告医生，告知患者及其家属。并在体温单、医嘱单、病历、床头卡、注射卡、门诊卡上用红色笔醒目注明阳性结果。</w:t>
            </w:r>
          </w:p>
          <w:p w14:paraId="442451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（三）青霉素过敏反应的临床表现</w:t>
            </w:r>
            <w:r>
              <w:rPr>
                <w:rFonts w:hint="eastAsia" w:ascii="宋体" w:hAnsi="宋体" w:eastAsia="宋体" w:cs="宋体"/>
                <w:b w:val="0"/>
                <w:bCs/>
                <w:color w:val="000000"/>
                <w:kern w:val="2"/>
                <w:sz w:val="21"/>
                <w:szCs w:val="21"/>
                <w:lang w:val="en-US" w:eastAsia="zh-CN" w:bidi="ar"/>
              </w:rPr>
              <w:tab/>
            </w:r>
          </w:p>
          <w:p w14:paraId="5B3A95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青霉素过敏反应的临床表现多种多样，包括皮肤、呼吸道、消化道等过敏症状，其中最严重的表现为过敏性休克。各症状可单独出现，也可同时存在，最早出现的常为呼吸道症状或皮肤瘙痒，因此用药过程中必须注意倾听患者的主诉。</w:t>
            </w:r>
          </w:p>
          <w:p w14:paraId="50F01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过敏性休克　多在注射后 5 ～ 20 分钟内发生，也可在青霉素过敏试验过程中，或注射药液后呈闪电式发生。极少数患者发生于连续用药的过程中。主要表现为：</w:t>
            </w:r>
          </w:p>
          <w:p w14:paraId="4ED5F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（1）呼吸道阻塞症状：由于喉头水肿、支气管痉挛、肺水肿，可引起胸闷、气促、发绀、哮喘、呼吸困难伴濒死感。</w:t>
            </w:r>
          </w:p>
          <w:p w14:paraId="193F93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（2）循环衰竭症状：因周围血管扩张、毛细血管通透性增高，导致有效循环血量相对和绝对不足，表现为面色苍白、出冷汗、脉细弱、血压下降等。</w:t>
            </w:r>
          </w:p>
          <w:p w14:paraId="3323D8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（3）中枢神经系统症状：由于脑组织缺氧，可引起头晕眼花、烦躁不安，甚至意识丧失、抽搐、大小便失禁等。</w:t>
            </w:r>
          </w:p>
          <w:p w14:paraId="67AB4B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（4）其他过敏症状：可有恶心、呕吐、腹痛、腹泻、瘙痒、荨麻疹及其他皮疹。</w:t>
            </w:r>
          </w:p>
          <w:p w14:paraId="6FA2C1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血清病样反应　一般于用药后 7 ～ 12 天发生，临床表现和血清病相似，有发热、腹痛、皮肤瘙痒、荨麻疹、关节肿痛、全身淋巴结肿大等。</w:t>
            </w:r>
          </w:p>
          <w:p w14:paraId="158FA2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各器官或组织的过敏反应</w:t>
            </w:r>
          </w:p>
          <w:p w14:paraId="472BC0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（1）皮肤过敏反应：瘙痒、荨麻疹、皮炎，严重者发生剥脱性皮炎。</w:t>
            </w:r>
          </w:p>
          <w:p w14:paraId="2F89E2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（2）呼吸道过敏反应：可引起哮喘，或诱发原有的哮喘发作。</w:t>
            </w:r>
          </w:p>
          <w:p w14:paraId="72658F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（3）消化系统过敏反应：可引起过敏性紫癜，以腹痛和便血为主要症状。</w:t>
            </w:r>
          </w:p>
          <w:p w14:paraId="594771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（四）青霉素过敏性休克的处理</w:t>
            </w:r>
            <w:r>
              <w:rPr>
                <w:rFonts w:hint="eastAsia" w:ascii="宋体" w:hAnsi="宋体" w:eastAsia="宋体" w:cs="宋体"/>
                <w:b w:val="0"/>
                <w:bCs/>
                <w:color w:val="000000"/>
                <w:kern w:val="2"/>
                <w:sz w:val="21"/>
                <w:szCs w:val="21"/>
                <w:lang w:val="en-US" w:eastAsia="zh-CN" w:bidi="ar"/>
              </w:rPr>
              <w:tab/>
            </w:r>
          </w:p>
          <w:p w14:paraId="77946E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（1）立即停药，将患者平卧或取中凹卧位，同时报告医生，迅速就地抢救。</w:t>
            </w:r>
          </w:p>
          <w:p w14:paraId="153E88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（2）立即皮下注射 0.1% 盐酸肾上腺素 0.5 ～ 1 mL，患儿剂量酌减。若症状不缓解，可每隔 30 分钟皮下或静脉注射 0.5 mL，直至脱离危险期。盐酸肾上腺素具有收缩血管、增加外周阻力、兴奋心肌、增加心输出量及松弛支气管平滑肌的作用，是抢救过敏性休克的首选药物。</w:t>
            </w:r>
          </w:p>
          <w:p w14:paraId="4A43C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（3）改善缺氧。</w:t>
            </w:r>
          </w:p>
          <w:p w14:paraId="6CD54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①立即给予氧气吸入。</w:t>
            </w:r>
          </w:p>
          <w:p w14:paraId="592EB5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②保持呼吸道通畅。如发生喉头水肿，立即配合医生准备气管插管或气管切开。</w:t>
            </w:r>
          </w:p>
          <w:p w14:paraId="767050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③若患者出现呼吸抑制，立即进行人工呼吸，并遵医嘱使用呼吸兴奋剂，如尼可刹米、洛贝林等肌内注射。</w:t>
            </w:r>
          </w:p>
          <w:p w14:paraId="6E7A62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（4）根据医嘱用药，进行补液、纠正酸中毒、抗过敏、升压等。</w:t>
            </w:r>
          </w:p>
          <w:p w14:paraId="5610BF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①抗过敏：给予地塞米松 5 ～ 10 mg 静脉推注，或氢化可的松 200 mg 加在 5% 或 10% 葡萄糖液 500 mL 内静脉滴注。</w:t>
            </w:r>
          </w:p>
          <w:p w14:paraId="56E6D6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②改善微循环：静脉滴注葡萄糖液或平衡液扩充血容量，遵医嘱使用多巴胺、间羟胺等升压药物。</w:t>
            </w:r>
          </w:p>
          <w:p w14:paraId="291C0C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③应用抗组胺类药物，如盐酸异丙嗪 25 ～ 50 mg 肌内注射。</w:t>
            </w:r>
          </w:p>
          <w:p w14:paraId="22A951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（5）如发生心跳呼吸骤停，立即进行心肺复苏抢救。</w:t>
            </w:r>
          </w:p>
          <w:p w14:paraId="4E58E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（6）密切观察患者生命体征、尿量、意识及其他病情变化，注意保暖，</w:t>
            </w:r>
          </w:p>
          <w:p w14:paraId="12754D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做好病情动态记录。患者未脱离危险期，不宜转运。</w:t>
            </w:r>
          </w:p>
          <w:p w14:paraId="397112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（五）青霉素过敏反应的预防</w:t>
            </w:r>
          </w:p>
          <w:p w14:paraId="5D3367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（1）已知对青霉素或其他青霉素类药物过敏的患者，应禁用该药。</w:t>
            </w:r>
          </w:p>
          <w:p w14:paraId="2097A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（2）使用青霉素治疗的患者，用药前必须做过敏试验，过敏试验阴性方可使用青霉素。连续用药的过程中更换青霉素批号，或停药 3 天以后再用者，均须重做过敏试验。</w:t>
            </w:r>
          </w:p>
          <w:p w14:paraId="43D127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（3）青霉素注射盘和注射器、溶解青霉素的等渗盐水均应专用，以防“隐性接触”造成机体过敏而发生意外。</w:t>
            </w:r>
          </w:p>
          <w:p w14:paraId="2D7161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（4）正确实施药物过敏试验。过敏试验液的配制、皮内注入剂量及试验结果的判断均应准确。</w:t>
            </w:r>
          </w:p>
          <w:p w14:paraId="7689F4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（5）加强工作责任心。严格执行查对制度。</w:t>
            </w:r>
          </w:p>
          <w:p w14:paraId="61C829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（6）使用青霉素治疗过程中应严密观察患者反应，准备好急救物品。首次注射青霉素者注射后需观察 30 分钟，以防延缓性过敏反应的发生。</w:t>
            </w:r>
          </w:p>
          <w:p w14:paraId="7BFBED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（7）使用不同青霉素均应用原液做过敏试验，不得相互替代。</w:t>
            </w:r>
          </w:p>
          <w:p w14:paraId="42F6D3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0585F9F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通过教师讲解，了解药物过敏试验法及过敏反应的处理（一）的基本理论知识。</w:t>
            </w:r>
          </w:p>
        </w:tc>
      </w:tr>
      <w:tr w14:paraId="382FE5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47975A5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490A22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09201E8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C68EA6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这节课我们一起学习了药物过敏试验法及过敏反应的处理（一），让学生知道使用青霉素治疗过程中应严密观察患者反应，准备好急救物品。</w:t>
            </w:r>
          </w:p>
        </w:tc>
        <w:tc>
          <w:tcPr>
            <w:tcW w:w="1650" w:type="dxa"/>
            <w:tcBorders>
              <w:tl2br w:val="nil"/>
              <w:tr2bl w:val="nil"/>
            </w:tcBorders>
            <w:vAlign w:val="center"/>
          </w:tcPr>
          <w:p w14:paraId="62DB26A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3E58A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2C97939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3CE5EAC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27520C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简述青霉素过敏反应的预防</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422D106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CF89AD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4700C3E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373C1AD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展示药物过敏试验法及过敏反应的处理（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CD56B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三、链霉素过敏试验及过敏反应的处理</w:t>
            </w:r>
          </w:p>
          <w:p w14:paraId="6B854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链霉素主要对革兰阴性细菌及结核杆菌有较强的抗菌作用。由于其本身的毒性作用以损害第Ⅷ对脑神经为主，还可导致皮疹、发热、荨麻疹、血管性水肿等过敏反应。链霉素过敏发生过敏性休克的概率虽较青霉素低，但病死率很高，所以使用该药前应进行皮肤过敏试验，结果阴性方可使用链霉素治疗。</w:t>
            </w:r>
          </w:p>
          <w:p w14:paraId="639B2C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（一）链霉素过敏试验法</w:t>
            </w:r>
          </w:p>
          <w:p w14:paraId="144B89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试验液的配制　以每 mL 试验液含链霉素 2 500 U 为标准。</w:t>
            </w:r>
          </w:p>
          <w:p w14:paraId="3B21CB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试验方法　取上述链霉素过敏试验液 0.1 mL（含链霉素 250 U）做皮内注射，20 分钟后判断试验结果，判断标准同青霉素皮内试验法。</w:t>
            </w:r>
          </w:p>
          <w:p w14:paraId="6FD195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（二）链霉素过敏反应的表现及处理</w:t>
            </w:r>
          </w:p>
          <w:p w14:paraId="75F9D8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链霉素过敏反应的临床表现与青霉素过敏反应大致相同，轻者表现为发热、皮疹、荨麻疹、血管性水肿，重者可致过敏性休克。一旦发生过敏性休克，其救治措施与青霉素过敏性休克基本相同。但链霉素的毒性反应比过敏反应更常见，可有全身麻木、抽搐、肌肉无力、眩晕、耳鸣、耳聋等。可缓慢静脉注射 10% 葡萄糖酸钙或稀释一倍的 5% 氯化钙溶液治疗，以使链霉素与钙离子络合而减轻毒性症状。</w:t>
            </w:r>
          </w:p>
          <w:p w14:paraId="7B16ED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四、破伤风抗毒素过敏试验及过敏反应的处理</w:t>
            </w:r>
          </w:p>
          <w:p w14:paraId="030AFA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破伤风抗毒素（TAT）是用破伤风类毒素免疫马的血浆经物理、化学方法精制而成，属于一种特异性抗体，在救治破伤风患者时用以中和患者体液中的破伤风毒素，有利于控制病情发展；也可用于有潜在破伤风感染危险的外伤伤员，作为被动免疫预防注射。</w:t>
            </w:r>
          </w:p>
          <w:p w14:paraId="00ADE3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TAT 是马的免疫血清，对人体是异种蛋白而易引起过敏反应。主要表现为发热、速发型或迟缓型血清病。反应一般不严重，但偶尔可见过敏性休克，抢救不及时可导致死亡。首次使用 TAT 前，或曾用过 TAT 但超过一周者，必须做过敏试验，结果阴性方可把所需剂量一次性注射完。TAT 是一种特异性抗体，没有可以代替的药物，皮试结果即使阳性，仍需考虑使用。但 TAT 要采用脱敏注射法，脱敏注射过程中要密切观察，一旦发现异常立即采取有效的处理措施。</w:t>
            </w:r>
          </w:p>
          <w:p w14:paraId="402EB5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（一）破伤风抗毒素过敏试验法</w:t>
            </w:r>
          </w:p>
          <w:p w14:paraId="21D123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试验液的配制　以每 mL 试验液含破伤风抗毒素 150 IU 为标准。配制时用 1 mL 注射器吸取含 TAT 1 500IU 的药液 0.1 mL，加 0.9% 氯化钠稀释至1 mL 即可。</w:t>
            </w:r>
          </w:p>
          <w:p w14:paraId="05281B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试验方法　皮内注射 TAT 试验液 0.1 mL（含 TAT 15 IU），20 分钟后观察结果。</w:t>
            </w:r>
          </w:p>
          <w:p w14:paraId="2536CC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皮试结果判断标准：</w:t>
            </w:r>
          </w:p>
          <w:p w14:paraId="6F828E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（1）阴性：局部皮丘无红肿，全身无异常反应。</w:t>
            </w:r>
          </w:p>
          <w:p w14:paraId="7BB400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（2）阳性：局部皮丘红肿，硬结直径大于 1.5 cm，红晕超过 4 cm，有时出现伪足，痒感。全身过敏反应表象与青霉素过敏反应相类似，以血清病型反应多见。</w:t>
            </w:r>
          </w:p>
          <w:p w14:paraId="2E3A52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（二）破伤风抗毒素脱敏注射法</w:t>
            </w:r>
            <w:r>
              <w:rPr>
                <w:rFonts w:hint="eastAsia" w:ascii="宋体" w:hAnsi="宋体" w:eastAsia="宋体" w:cs="宋体"/>
                <w:b/>
                <w:bCs w:val="0"/>
                <w:color w:val="000000"/>
                <w:kern w:val="2"/>
                <w:sz w:val="21"/>
                <w:szCs w:val="21"/>
                <w:lang w:val="en-US" w:eastAsia="zh-CN" w:bidi="ar"/>
              </w:rPr>
              <w:tab/>
            </w:r>
          </w:p>
          <w:p w14:paraId="606A7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 TAT 是特异性的抗体，无其他可替代的药物，故对试验结果阳性者，需采用脱敏注射法（表 7-18）。脱敏注射的机制是小剂量抗原进入机体后，同吸附于肥大细胞或嗜碱性粒细胞上的 IgE 结合，使其释放出少量的组胺等活性物质。而机体本身有一种组胺酶释放，它可使组胺分解，不致对机体产生严重损害，因此临床上可不出现症状。经过多次小量的反复注射后，可使细胞表面的 IgE 抗体逐步被消耗掉，最后可以全部注入所需药量而不发生过敏反应。但这种脱敏只是暂时的，日后再用时仍须做皮内试验。</w:t>
            </w:r>
          </w:p>
          <w:p w14:paraId="0A79E9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脱敏注射过程，患者仍有可能发生严重的过敏反应。因此应准备好过敏急救物品，密切观察患者的反应。如发现患者面色苍白、气促、发绀、荨麻疹、头晕等不适或血压下降时应立即停止注射，并配合医生迅速处理抢救。如反应轻微，待反应消退后，酌情增加注射次数，减少每次注射剂量，在密切监测病情的状况下顺利注入余量。</w:t>
            </w:r>
          </w:p>
          <w:p w14:paraId="5B7327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5ACC3FE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通过教师讲解，了解药物过敏试验法及过敏反应的处理（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0FFBDA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02D65F9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4A1709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13F223C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7E4C3B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这节课我们一起学习了药物过敏试验法及过敏反应的处理（</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），让学生知道说明文根据表达方式的不同，可以分为一般性说明文和文艺性说明文。</w:t>
            </w:r>
          </w:p>
        </w:tc>
        <w:tc>
          <w:tcPr>
            <w:tcW w:w="1650" w:type="dxa"/>
            <w:tcBorders>
              <w:tl2br w:val="nil"/>
              <w:tr2bl w:val="nil"/>
            </w:tcBorders>
            <w:vAlign w:val="center"/>
          </w:tcPr>
          <w:p w14:paraId="6FB3DFB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7FD45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140ADFA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1E0B8C2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4E647D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简述破伤风抗毒素过敏试验及过敏反应的处理</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4D5114A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1552FC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20BF5EB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0E8A2D0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展示药物过敏试验法及过敏反应的处理（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06833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五、普鲁卡因过敏试验法</w:t>
            </w:r>
          </w:p>
          <w:p w14:paraId="269336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普鲁卡因是常用的局麻药，偶发轻重不一的过敏反应。凡首次使用普鲁卡因者，均需做过敏试验，结果阴性者方可用药。</w:t>
            </w:r>
          </w:p>
          <w:p w14:paraId="46FDCE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（一）试验液的配制 </w:t>
            </w:r>
          </w:p>
          <w:p w14:paraId="4178EE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以每 mL 试验液含普鲁卡因 0.25% 为标准。具体方法是：</w:t>
            </w:r>
          </w:p>
          <w:p w14:paraId="2E2231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（1）如为 2% 的普鲁卡因溶液，用 1 mL 注射器吸取 0.1 mL，稀释至0.8 mL 即可。</w:t>
            </w:r>
          </w:p>
          <w:p w14:paraId="2C174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（2）如为 2.5% 的普鲁卡因溶液，用 1 mL 注射器吸取 0.1 mL，稀释至1 mL 即可。</w:t>
            </w:r>
          </w:p>
          <w:p w14:paraId="098C4A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（二）试验方法 </w:t>
            </w:r>
          </w:p>
          <w:p w14:paraId="2CC349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皮内注射 0.25% 普鲁卡因试验液 0.1 mL，20 分钟后观察试验结果并记录。</w:t>
            </w:r>
          </w:p>
          <w:p w14:paraId="600729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（三）结果判断和过敏反应的处理</w:t>
            </w:r>
          </w:p>
          <w:p w14:paraId="1E9EA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同青霉素过敏试验及过敏反应的处理。</w:t>
            </w:r>
          </w:p>
          <w:p w14:paraId="2E63EB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5512CEC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通过教师讲解，了解药物过敏试验法及过敏反应的处理（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482660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6C204B8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DF471F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4AC41F6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8F6255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这节课我们一起学习了药物过敏试验法及过敏反应的处理（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），让学生知道普鲁卡因是常用的局麻药，偶发轻重不一的过敏反应。</w:t>
            </w:r>
          </w:p>
        </w:tc>
        <w:tc>
          <w:tcPr>
            <w:tcW w:w="1650" w:type="dxa"/>
            <w:tcBorders>
              <w:tl2br w:val="nil"/>
              <w:tr2bl w:val="nil"/>
            </w:tcBorders>
            <w:vAlign w:val="center"/>
          </w:tcPr>
          <w:p w14:paraId="26FFFBA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C91CA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050684A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72EC91F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7420C8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简述普鲁卡因过敏试验法</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379BAAA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C1074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3321488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1BA1AAC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展示药物过敏试验法及过敏反应的处理（</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6F08A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六、头孢菌素类药物过敏试验法</w:t>
            </w:r>
          </w:p>
          <w:p w14:paraId="584A85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头孢菌素类药物是一类高效、低毒、广谱的抗生素，由于抗原抗体的相互作用会引起机体的过敏反应，故用药前需做皮肤过敏性试验。另外，头孢菌素类药物和青霉素之间还呈现不完全的交叉过敏反应。对青霉素过敏者有10% ～ 30% 对头孢菌素过敏，而对头孢菌素过敏者绝大多数对青霉素过敏。头孢菌素类药物用药前应做皮肤过敏试验，皮试结果阴性方可用药。以下以先锋霉素 VI 为例，介绍头孢菌素过敏试验法。</w:t>
            </w:r>
          </w:p>
          <w:p w14:paraId="4C9740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（一）试验液的配制</w:t>
            </w:r>
          </w:p>
          <w:p w14:paraId="620DE5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以每 mL 试验液含先锋霉素 VI 500 µg 为标准。</w:t>
            </w:r>
          </w:p>
          <w:p w14:paraId="0F2793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15310" cy="797560"/>
                  <wp:effectExtent l="0" t="0" r="889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3115310" cy="797560"/>
                          </a:xfrm>
                          <a:prstGeom prst="rect">
                            <a:avLst/>
                          </a:prstGeom>
                          <a:noFill/>
                          <a:ln>
                            <a:noFill/>
                          </a:ln>
                        </pic:spPr>
                      </pic:pic>
                    </a:graphicData>
                  </a:graphic>
                </wp:inline>
              </w:drawing>
            </w:r>
          </w:p>
          <w:p w14:paraId="76580F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（二）试验方法</w:t>
            </w:r>
          </w:p>
          <w:p w14:paraId="3B4830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取先锋霉素 VI 过敏试验液 0.1 mL（含先锋霉素 VI 50 µg）做皮内注射，20 分钟后判断试验结果。</w:t>
            </w:r>
          </w:p>
          <w:p w14:paraId="39DC76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（三）结果判断和过敏反应的处理</w:t>
            </w:r>
          </w:p>
          <w:p w14:paraId="735E19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同青霉素过敏试验及过敏反应的处理。</w:t>
            </w:r>
          </w:p>
          <w:p w14:paraId="5E15F8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7F54C73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通过教师讲解，了解药物过敏试验法及过敏反应的处理（</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5A615FD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72CF365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8DE8B2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3805ECD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7FB9EE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这节课我们一起学习了药物过敏试验法及过敏反应的处理（</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），让学生知道头孢菌素类药物是一类高效、低毒、广谱的抗生素。</w:t>
            </w:r>
          </w:p>
        </w:tc>
        <w:tc>
          <w:tcPr>
            <w:tcW w:w="1650" w:type="dxa"/>
            <w:tcBorders>
              <w:tl2br w:val="nil"/>
              <w:tr2bl w:val="nil"/>
            </w:tcBorders>
            <w:vAlign w:val="center"/>
          </w:tcPr>
          <w:p w14:paraId="18E62F1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46EB4F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5964872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5C3CF53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15E695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简述头孢菌素类药物过敏试验法</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652F03C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02AE88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7F4C9C4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4328480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展示药物过敏试验法及过敏反应的处理（</w:t>
            </w:r>
            <w:r>
              <w:rPr>
                <w:rFonts w:hint="eastAsia" w:ascii="宋体" w:hAnsi="宋体" w:cs="宋体"/>
                <w:b w:val="0"/>
                <w:bCs/>
                <w:color w:val="C00000"/>
                <w:kern w:val="2"/>
                <w:sz w:val="21"/>
                <w:szCs w:val="21"/>
                <w:lang w:val="en-US" w:eastAsia="zh-CN" w:bidi="ar"/>
              </w:rPr>
              <w:t>五</w:t>
            </w:r>
            <w:r>
              <w:rPr>
                <w:rFonts w:hint="eastAsia" w:ascii="宋体" w:hAnsi="宋体" w:eastAsia="宋体" w:cs="宋体"/>
                <w:b w:val="0"/>
                <w:bCs/>
                <w:color w:val="C00000"/>
                <w:kern w:val="2"/>
                <w:sz w:val="21"/>
                <w:szCs w:val="21"/>
                <w:lang w:val="en-US" w:eastAsia="zh-CN" w:bidi="ar"/>
              </w:rPr>
              <w:t>）</w:t>
            </w:r>
          </w:p>
          <w:p w14:paraId="25C7A6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七、碘过敏试验法</w:t>
            </w:r>
          </w:p>
          <w:p w14:paraId="6CAFC2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临床上常用碘化物造影剂做泌尿系、心脏血管、脑血管、其他脏器和周围血管造影， CT 增强扫描和其他各种腔道、瘘管造影等。为了患者的安全，造影前需询问患者的用药史，有碘过敏史者禁忌使用碘造影剂。凡首次用药者应在造影前 1 ～ 2 天做碘过敏试验，结果为阴性者方可做碘造影检查。造影时仍需备好急救药品。</w:t>
            </w:r>
          </w:p>
          <w:p w14:paraId="6D9641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（一）过敏试验方法</w:t>
            </w:r>
          </w:p>
          <w:p w14:paraId="0D8946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口服法　口服 5% ～ 10% 碘化钾 5 mL，每日 3 次，共服 3 天，然后观察结果。</w:t>
            </w:r>
          </w:p>
          <w:p w14:paraId="05EDA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皮内注射法　皮内注射碘造影剂 0.1 mL，20 分钟后观察结果。</w:t>
            </w:r>
          </w:p>
          <w:p w14:paraId="732535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静脉注射法　静脉缓慢注射碘造影剂1 mL（常用30%泛影葡胺），5～10分钟后观察结果。</w:t>
            </w:r>
          </w:p>
          <w:p w14:paraId="4138AC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（二）试验结果判断</w:t>
            </w:r>
          </w:p>
          <w:p w14:paraId="10655B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口服法　阴性者无任何不适症状；阳性者有口麻、眩晕、心慌、恶心呕吐、流泪、流涕、荨麻疹等表现。</w:t>
            </w:r>
          </w:p>
          <w:p w14:paraId="1E29ED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皮内注射法　阴性者皮试局部无反应；阳性者皮试局部有红肿、硬块，直径超过 l cm。</w:t>
            </w:r>
          </w:p>
          <w:p w14:paraId="294CF9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静脉注射法　阴性者无任何不适；阳性者有血压、脉搏、呼吸和面色等改变。</w:t>
            </w:r>
          </w:p>
          <w:p w14:paraId="0FBB7D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（三）结果判断和过敏反应的处理</w:t>
            </w:r>
          </w:p>
          <w:p w14:paraId="6C01C0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同青霉素过敏试验及过敏反应的处理。</w:t>
            </w:r>
          </w:p>
          <w:p w14:paraId="1F5D47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（四）注意事项</w:t>
            </w:r>
          </w:p>
          <w:p w14:paraId="262A06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（1）在静脉注射造影剂前，应先做皮内注射试验，若结果阴性再行静脉注射试验，两者均为阴性方可进行碘剂造影。</w:t>
            </w:r>
          </w:p>
          <w:p w14:paraId="6E0253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（2）有少数患者过敏试验为阴性，但在注射碘造影剂时仍会发生过敏反应，故造影时必须备好急救药品。</w:t>
            </w:r>
          </w:p>
          <w:p w14:paraId="5B5AF6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3BB18E9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通过教师讲解，了解药物过敏试验法及过敏反应的处理（</w:t>
            </w:r>
            <w:r>
              <w:rPr>
                <w:rFonts w:hint="eastAsia" w:ascii="Times New Roman" w:hAnsi="Times New Roman"/>
                <w:b/>
                <w:szCs w:val="24"/>
                <w:lang w:val="en-US" w:eastAsia="zh-CN"/>
              </w:rPr>
              <w:t>五</w:t>
            </w:r>
            <w:r>
              <w:rPr>
                <w:rFonts w:hint="eastAsia" w:ascii="Times New Roman" w:hAnsi="Times New Roman"/>
                <w:b/>
                <w:szCs w:val="24"/>
              </w:rPr>
              <w:t>）的基本理论知识。</w:t>
            </w:r>
          </w:p>
        </w:tc>
      </w:tr>
      <w:tr w14:paraId="1B1DE2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4997A0D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3CCD5D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16376B2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E3C057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这节课我们一起学习了药物过敏试验法及过敏反应的处理（</w:t>
            </w:r>
            <w:r>
              <w:rPr>
                <w:rFonts w:hint="eastAsia" w:ascii="宋体" w:hAnsi="宋体" w:cs="宋体"/>
                <w:b/>
                <w:bCs w:val="0"/>
                <w:kern w:val="2"/>
                <w:sz w:val="21"/>
                <w:szCs w:val="21"/>
                <w:lang w:val="en-US" w:eastAsia="zh-CN" w:bidi="ar"/>
              </w:rPr>
              <w:t>五</w:t>
            </w:r>
            <w:r>
              <w:rPr>
                <w:rFonts w:hint="eastAsia" w:ascii="宋体" w:hAnsi="宋体" w:eastAsia="宋体" w:cs="宋体"/>
                <w:b/>
                <w:bCs w:val="0"/>
                <w:kern w:val="2"/>
                <w:sz w:val="21"/>
                <w:szCs w:val="21"/>
                <w:lang w:val="en-US" w:eastAsia="zh-CN" w:bidi="ar"/>
              </w:rPr>
              <w:t>），让学生知道在静脉注射造影剂前，应先做皮内注射试验。</w:t>
            </w:r>
          </w:p>
        </w:tc>
        <w:tc>
          <w:tcPr>
            <w:tcW w:w="1650" w:type="dxa"/>
            <w:tcBorders>
              <w:tl2br w:val="nil"/>
              <w:tr2bl w:val="nil"/>
            </w:tcBorders>
            <w:vAlign w:val="center"/>
          </w:tcPr>
          <w:p w14:paraId="18E506E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26DB98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7896FF0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1F77295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FF1AFC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简述碘过敏试验法</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4139874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8EA8A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0E6FF"/>
            <w:vAlign w:val="center"/>
          </w:tcPr>
          <w:p w14:paraId="7577E8C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gridSpan w:val="2"/>
            <w:tcBorders>
              <w:tl2br w:val="nil"/>
              <w:tr2bl w:val="nil"/>
            </w:tcBorders>
            <w:vAlign w:val="center"/>
          </w:tcPr>
          <w:p w14:paraId="781E540C">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一堂学生参与程度较深的课，能让学生更好地体会到所学知识的重要性和反映出的内在思想性。给学生留有参与的空间，也给学生以有效的评价。</w:t>
            </w:r>
          </w:p>
        </w:tc>
      </w:tr>
      <w:bookmarkEnd w:id="0"/>
    </w:tbl>
    <w:p w14:paraId="467BA43F"/>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CD1E65B-6D94-4CF6-8BF1-A44B7FAC316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402CF733-3004-478A-9158-BE078C8CE052}"/>
  </w:font>
  <w:font w:name="微软雅黑">
    <w:panose1 w:val="020B0503020204020204"/>
    <w:charset w:val="86"/>
    <w:family w:val="auto"/>
    <w:pitch w:val="default"/>
    <w:sig w:usb0="80000287" w:usb1="2ACF3C50" w:usb2="00000016" w:usb3="00000000" w:csb0="0004001F" w:csb1="00000000"/>
    <w:embedRegular r:id="rId3" w:fontKey="{14B21205-3466-41B4-B913-924498C90535}"/>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589F05F8-C1A2-4D45-B6E1-7F6CC107F0F6}"/>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67413D79-4A02-4BC1-A8D2-24FB4C91AF74}"/>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DFB3D0"/>
    <w:multiLevelType w:val="singleLevel"/>
    <w:tmpl w:val="CEDFB3D0"/>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120443"/>
    <w:rsid w:val="0AC91BFE"/>
    <w:rsid w:val="0E3C75E8"/>
    <w:rsid w:val="0F244062"/>
    <w:rsid w:val="18E44A63"/>
    <w:rsid w:val="1F095C2A"/>
    <w:rsid w:val="1FB84519"/>
    <w:rsid w:val="2003061B"/>
    <w:rsid w:val="20F13C9B"/>
    <w:rsid w:val="221D1D08"/>
    <w:rsid w:val="238347DF"/>
    <w:rsid w:val="24B477DD"/>
    <w:rsid w:val="278141AB"/>
    <w:rsid w:val="28B578A7"/>
    <w:rsid w:val="30564A47"/>
    <w:rsid w:val="30865E1D"/>
    <w:rsid w:val="322A12C5"/>
    <w:rsid w:val="34AD60CD"/>
    <w:rsid w:val="34B67F89"/>
    <w:rsid w:val="368D542E"/>
    <w:rsid w:val="388B134B"/>
    <w:rsid w:val="3B3D61BD"/>
    <w:rsid w:val="436C72A2"/>
    <w:rsid w:val="43A6660D"/>
    <w:rsid w:val="43CD7F64"/>
    <w:rsid w:val="44B33A23"/>
    <w:rsid w:val="45C91BBA"/>
    <w:rsid w:val="48AA54D8"/>
    <w:rsid w:val="49703285"/>
    <w:rsid w:val="49B358F8"/>
    <w:rsid w:val="49F8701E"/>
    <w:rsid w:val="4C7F0E23"/>
    <w:rsid w:val="582E68E8"/>
    <w:rsid w:val="5A7C6694"/>
    <w:rsid w:val="5FE01C28"/>
    <w:rsid w:val="5FFC3909"/>
    <w:rsid w:val="600E33E1"/>
    <w:rsid w:val="622A303A"/>
    <w:rsid w:val="69425AC1"/>
    <w:rsid w:val="71C561B9"/>
    <w:rsid w:val="723010AC"/>
    <w:rsid w:val="747F1FAF"/>
    <w:rsid w:val="7A106FE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35</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2025-07-24T06:44:26Z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7067313A28494261A4D78D92F3E1C39E_13</vt:lpwstr>
  </property>
  <property fmtid="{D5CDD505-2E9C-101B-9397-08002B2CF9AE}" pid="4" name="KSOTemplateDocerSaveRecord">
    <vt:lpwstr>eyJoZGlkIjoiOTcxZjc4Y2ViNTBlZDVmZTI3YTAxZGE1NWVmM2E2NDEiLCJ1c2VySWQiOiI0MDMzMDA2MzYifQ==</vt:lpwstr>
  </property>
</Properties>
</file>